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506 vom 1. Juni 2010</w:t>
      </w:r>
    </w:p>
    <w:p>
      <w:r>
        <w:t>VD Tribunal cantonal, 2010-06-01, FR</w:t>
      </w:r>
    </w:p>
    <w:p>
      <w:r>
        <w:rPr>
          <w:b/>
        </w:rPr>
        <w:t xml:space="preserve">Quelle: </w:t>
      </w:r>
      <w:r>
        <w:t>https://mcp.opencaselaw.ch/entscheid/vd_findinfo_HC___2010___506</w:t>
      </w:r>
    </w:p>
    <w:p>
      <w:r>
        <w:t>FR: VD_FINDINFO HC / 2010 / 506 du 1 juin 2010</w:t>
      </w:r>
    </w:p>
    <w:p>
      <w:r>
        <w:t>IT: VD_FINDINFO HC / 2010 / 506 del 1 giugno 2010</w:t>
      </w:r>
    </w:p>
    <w:p>
      <w:pPr>
        <w:pStyle w:val="Heading2"/>
      </w:pPr>
      <w:r>
        <w:t>Regeste</w:t>
      </w:r>
    </w:p>
    <w:p>
      <w:r>
        <w:t>MESURE PROVISIONNELLE, APPRÉCIATION DES PREUVES, INTERDICTION DE L'ARBITRAIRE, MOYEN DE DROIT CANTONAL | 111 CPC, 444 al. 1 ch. 3 CPC, 444 al. 1 CPC, 444 CPC, 9 Cst.</w:t>
      </w:r>
    </w:p>
    <w:p>
      <w:pPr>
        <w:pStyle w:val="Heading2"/>
      </w:pPr>
      <w:r>
        <w:t>Erwägungen</w:t>
      </w:r>
    </w:p>
    <w:p>
      <w:r>
        <w:rPr>
          <w:b/>
        </w:rPr>
        <w:t>E. 1</w:t>
      </w:r>
    </w:p>
    <w:p>
      <w:r>
        <w:t>a) Le recours en réforme n'est pas ouvert contre un arrêt sur appel de mesures provisionnelles, l'appel tenant déjà lieu de recours en réforme. Seule la voie du recours en nullité est ouverte contre un tel arrêt, pour tous les motifs prévus à l'art. 444 al. 1 CPC (Code de procédure civile du 14 décembre 1966, RSV 270.11; JT 1994 III 29; Poudret/Haldy/Tappy, Procédure civile vaudoise, 3 ème éd., Lausanne 2002, n. 1 ad art. 108 CPC, pp. 211-212 et les références citées; Poudret, note in JT 1987 III 23, pp. 27-28). Le recours n'a qu'un effet cassatoire et ne peut donc tendre qu'à l'annulation de l'arrêt attaqué (Poudret/Haldy/Tappy, op. cit., n. 1 ad art. 448 CPC, p. 676). Déposé en temps utile contre l’arrêt sur appel, le recours en nullité est ainsi recevable. b) Le grief de violation des règles essentielles de la procédure (art. 444 al. 1 ch. 3 CPC) permet notamment de se plaindre d’une violation du droit d’être entendu, ainsi que d’arbitraire dans l'appréciation des preuves. Le grief tiré de l'appréciation arbitraire des preuves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134 II 124 c. 4.1; ATF 133 I 149 c. 3.1 et les références citées).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pp. 59 ss; Tappy, les mesures provisionnelles en matière civile dans le nouveau système de recours au Tribunal fédéral, in Revue suisse de procédure civile [RSPC] 1/2007, pp. 99 ss, spéc., p. 107). Le recours en nullité n’est ainsi pas ouvert pour critiquer l’application du droit matériel, même sous l’angle d’une violation de l’interdiction constitutionnelle de l’arbitraire (TF 4P.293/2006 du 9 février 2007 c. 4.3; JT 2007 III 48 précité). c) Saisie d'un recours en nullité, la Chambre des recours n'examine que les moyens de nullité dûment développés (Poudret/Haldy/Tappy, op. cit., n. 2 ad art. 465 CPC, p. 722).</w:t>
      </w:r>
    </w:p>
    <w:p>
      <w:r>
        <w:rPr>
          <w:b/>
        </w:rPr>
        <w:t>E. 2</w:t>
      </w:r>
    </w:p>
    <w:p>
      <w:r>
        <w:t>a) Le recourant soutient que les juges de l’appel ont apprécié arbitrairement les preuves en retenant qu’un accord amiable serait intervenu au sujet de la répartition des oeuvres d’art entre les conjoints. Seul un document aurait été établi le 7 novembre 2004 au titre de projet de partage en vue de la conclusion d’une convention sur les effets accessoires du divorce, sans portée sur la possession durant la litispendance. A défaut d’accord, les juges de l’appel n’auraient pas dû considérer que la situation provisionnelle était réglée et qu’aucun élément nouveau ne justifiait de la revoir. b) Il est vrai que, contrairement à ce que les juges de l'appel ont exposé en page 6 de l'arrêt sur appel, il n'est pas établi que les époux seraient convenus d’une répartition amiable des oeuvres d’art à leur séparation. Si le recourant admet avoir emporté - au moment où il a quitté le domicile conjugal - une partie des œuvres d'art qui comptaient le plus pour lui (cf. mémoire, p. 6 in fine), il nie notamment avoir pris les oeuvres énumérées dans la liste établie le 7 novembre 2004 et on ignore ce qu’il en est. Cette incertitude importe toutefois peu, puisqu’il n’est pas contesté qu’après avoir emporté un certain nombre de ces oeuvres, le recourant a passé avec son épouse - alors qu'ils étaient tous deux assistés d’un avocat - une convention à l’audience préliminaire du 11 décembre 2008, selon laquelle chaque conjoint conservait la jouissance des biens meubles et oeuvres d’art en sa possession (cf. ch. V de dite convention). Conformément à la jurisprudence exposée précédemment, il n'y a pas arbitraire du seul fait qu'une solution soit discutable ou qu'une autre apparaisse concevable ou même préférable. Ainsi, étant donné les éléments dont ils disposaient, les juges de l'appel pouvaient sans arbitraire considérer que, vu la convention du 11 décembre 2008 et contrairement à ce qu’avait estimé le juge des mesures provisionnelles, la question de la possession des oeuvres d’art des parties avait déjà été tranchée, si bien qu’une nouvelle répartition ne se justifiait pas. Mal fondé, le recours doit être rejeté.</w:t>
      </w:r>
    </w:p>
    <w:p>
      <w:r>
        <w:rPr>
          <w:b/>
        </w:rPr>
        <w:t>E. 3</w:t>
      </w:r>
    </w:p>
    <w:p>
      <w:r>
        <w:t>En conclusion, le recours doit être rejeté, en application de l'art. 465 al. 1 CPC, et l'arrêt sur appel maintenu. Les frais de deuxième instance du recourant sont arrêtés à 2'000 fr. (art. 233 TFJC [tarif du 4 décembre 1984 des frais judiciaires en matière civile; RSV 270.11.5]). Par ces motifs, la Chambre des recours du Tribunal cantonal, statuant à huis clos, en application de l'art. 465 al. 1 CPC, prononce : I. Le recours est rejeté. II. L'arrêt sur appel est maintenu. III. Les frais du recourant M.________ sont arrêtés à 2'000 fr. (deux mille francs). IV. L'arrêt motivé est exécutoire. Le président :               La greffière : Du 1er juin 2010 Le dispositif de l'arrêt qui précède est communiqué par écrit aux intéressés. La greffière : Du L'arrêt qui précède, dont la rédaction a été approuvée à huis clos, est notifié en expédition complète, par l'envoi de photocopies, à : ‑ Me Alain Brogli (pour M.________), ‑ Me Jean-Christophe A Marca (pour Z.________). La Chambre des recours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