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501 vom 2. September 2010</w:t>
      </w:r>
    </w:p>
    <w:p>
      <w:r>
        <w:t>VD Tribunal cantonal, 2010-09-02, FR</w:t>
      </w:r>
    </w:p>
    <w:p>
      <w:r>
        <w:rPr>
          <w:b/>
        </w:rPr>
        <w:t xml:space="preserve">Quelle: </w:t>
      </w:r>
      <w:r>
        <w:t>https://mcp.opencaselaw.ch/entscheid/vd_findinfo_HC___2010___501</w:t>
      </w:r>
    </w:p>
    <w:p>
      <w:r>
        <w:t>FR: VD_FINDINFO HC / 2010 / 501 du 2 septembre 2010</w:t>
      </w:r>
    </w:p>
    <w:p>
      <w:r>
        <w:t>IT: VD_FINDINFO HC / 2010 / 501 del 2 settembre 2010</w:t>
      </w:r>
    </w:p>
    <w:p>
      <w:pPr>
        <w:pStyle w:val="Heading2"/>
      </w:pPr>
      <w:r>
        <w:t>Regeste</w:t>
      </w:r>
    </w:p>
    <w:p>
      <w:r>
        <w:t>EXPULSION DE LOCATAIRE, SOMMATION | 257d CO, 457 CPC, 23 LPEBL, 24 LPEBL, 29 LPEBL</w:t>
      </w:r>
    </w:p>
    <w:p>
      <w:pPr>
        <w:pStyle w:val="Heading2"/>
      </w:pPr>
      <w:r>
        <w:t>Erwägungen</w:t>
      </w:r>
    </w:p>
    <w:p>
      <w:r>
        <w:rPr>
          <w:b/>
        </w:rPr>
        <w:t>E. 1</w:t>
      </w:r>
    </w:p>
    <w:p>
      <w:r>
        <w:t>L'art. 23 al. 1 LPEBL (loi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celui-ci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JT 2004 III 79; Guignard, Procédures spéciales vaudoises, n. 4 ad art. 23 LPEBL, p. 212). En l’espèce, l’intimé n’a pas contesté le congé devant la commission de conciliation. La Chambre des recours dispose donc d’un pouvoir d’examen en droit limité à l’arbitraire. 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 En l'espèce, l'état de fait de l'ordonnance, qui a été complété, est conforme aux pièces du dossier.</w:t>
      </w:r>
    </w:p>
    <w:p>
      <w:r>
        <w:rPr>
          <w:b/>
        </w:rPr>
        <w:t>E. 2</w:t>
      </w:r>
    </w:p>
    <w:p>
      <w:r>
        <w:t>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(al. 1). Faute de paiement dans le délai fixé, le bailleur peut résilier les baux d’habitations, moyennant un délai de congé minimum de 30 jours pour la fin d’un mois (al. 2). Pour réclamer le paiement de 3’361 fr. 40, représentant 2 mois de loyer (novembre et décembre 2009) par 960 fr., 19 fr. 05 d’intérêt de retard, 2'000 francs d’indemnité d’occupation (pour janvier et février 2010), 16 fr. 35 d’intérêt de retard, 296 fr. de frais selon 106 CO et 70 fr. de frais de poursuite, la recourante a adressé à l’intimé par courrier du 15 février 2010 une mise en demeure signifiant qu’à défaut de paiement dans les trente jours, le bail serait résilié. Faute de paiement dans le délai de trente jours imparti, la recourante a signifié, par avis officiel sous pli recommandé du 26 mars 2010, que le bail était résilié pour le 30 avril 2010.</w:t>
      </w:r>
    </w:p>
    <w:p>
      <w:r>
        <w:rPr>
          <w:b/>
        </w:rPr>
        <w:t>E. 3</w:t>
      </w:r>
    </w:p>
    <w:p>
      <w:r>
        <w:t>Il ressort du dossier que le bail de l’intimé a été résilié de manière ordinaire (art. 266l CO) par formule officielle du 16 septembre 2009 pour le 31 décembre 2009. L’intimé n’a pas contesté le congé. Dans cette configuration, le premier juge a retenu que la résiliation du 26 mars 2010 fondée sur l’art. 257d al. 2 CO était intervenue postérieurement à l’extinction du bail découlant de la résiliation du 16 septembre 2009 de sorte qu’elle était dépourvue d’effet. Cette appréciation est correcte et justifie déjà le rejet du recours.</w:t>
      </w:r>
    </w:p>
    <w:p>
      <w:r>
        <w:rPr>
          <w:b/>
        </w:rPr>
        <w:t>E. 4</w:t>
      </w:r>
    </w:p>
    <w:p>
      <w:r>
        <w:t>La recourante est d’avis que la mise en demeure pouvait inclure une indemnité pour occupation illicite. Cela n’est pas le cas. Une mise en demeure au sens de l’art. 257d al. 1 CO présuppose un retard dans le paiement du loyer, des intérêts moratoires y relatifs ou des frais accessoires. En revanche, la mise en demeure ne peut pas concerner des prétentions comme des dommages-intérêts ou des frais de poursuite (cf. Lachat, Commentaire romand, Code des obligations I, 2003, n. 2 ad art. 257d CO, p. 1332). L’indemnité pour occupation illicite entre dans la catégorie des dommages-intérêts (cf. Lachat, Le bail à loyer, éd. 2008, n. 9.2 p. 821). Le bail de l’intimé a été résilié de manière ordinaire (art. 266l CO) par formule officielle du 16 septembre 2009 pour le 31 décembre 2009. L’intimé n’a pas contesté le congé. S’il est resté dans les locaux, la recourante peut obtenir une indemnité pour occupation illicite à cet égard. Elle s’est notamment prévalue d’une telle indemnité dans sa mise en demeure du 15 février 2010, pour les mois de janvier et février 2010, en arrêtant d’ailleurs cette indemnité à un montant sensiblement plus élevé que le loyer. Cependant, comme cela résulte de la doctrine précitée, une indemnité pour occupation illicite ne saurait faire l’objet d’une mise en demeure au sens de l’art 257d al. 1 CO : une mise en demeure n’est envisageable pour le loyer uniquement lorsque la relation de bail existe, ce qui n’est pas le cas d’une indemnité pour occupation illicite, laquelle implique la fin des rapports de bail. Par conséquent, le montant de 2’000 fr. figurant dans la mise en demeure à titre d’indemnité pour occupation illicite ainsi que les 16 fr. 35 d’intérêts y relatifs ne sont pas légitimes. La recourante a aussi invoqué un montant de 70 francs pour frais de poursuite, alors qu’un tel montant ne saurait être inclus dans une mise en demeure (Lachat, Commentaire romand, ibidem). Elle s’est encore prévalue de 296 fr. à titre d’indemnité au sens de l'art. 106 CO. Or, des frais d’intervention selon l’art. 106 CO ne peuvent pas être compris dans une mise en demeure (Higi, Zurcher Kommentar, n. 25 ad art. 257d CO, p. 257; Wessner, L’obligation du locataire de payer le loyer et les frais accessoires, 9 ème séminaire sur le droit du bail, 1999, p. 18), ce qui ne pouvait échapper au conseil de la recourante, mandataire professionnel, qui a rédigé la mise en demeure. Une telle manière de procéder n’est pas admissible. Il résulte de ce qui précède que la recourante a réclamé dans sa mise en demeure un montant de 3’361 fr. 40, alors qu’elle était uniquement habilitée à invoquer un montant de 979 fr. 05 (3’361 fr. 40 - 2’000 fr. - 16 fr. 35 - 70 fr. - 296 francs). Indépendamment du motif retenu par le premier juge pour rejeter la requête d’expulsion (supra, c. 3), la disproportion du montant réclamé dans la mise en demeure aurait de toute façon aussi justifié le rejet. La jurisprudence de la cour de céans considère que le congé qui repose sur une mise en demeure portant sur un montant disproportionné par rapport au loyer effectivement dû est le prototype même du congé inefficace. En effet, le locataire “moyen”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(CREC I 16 juillet 2009 no 376; CREC I 27 août 2009 no 439). En l’espèce, le montant de la mise en demeure est plus de trois fois plus élevé que le montant que la recourante était habilitée à réclamer. La disproportion est évidente et rend le congé inefficace. Cela justifie également le rejet du recours.</w:t>
      </w:r>
    </w:p>
    <w:p>
      <w:r>
        <w:rPr>
          <w:b/>
        </w:rPr>
        <w:t>E. 5</w:t>
      </w:r>
    </w:p>
    <w:p>
      <w:r>
        <w:t>En conclusion, le recours doit être rejeté et l'ordonnance confirmée. Les frais de deuxième instance de la recourante sont arrêtés à 250 francs (art. 230 TFJC). Par ces motifs, la Chambre des recours du Tribunal cantonal, statuant à huis clos, prononce : I. Le recours est rejeté. II. L'ordonnance est confirmée. III. Les frais de deuxième instance de la recourante F.________ sont arrêtés à 250 fr. (deux cent cinquante francs). IV. L'arrêt motivé est exécutoire. Le président :               La greffière : Du 2 septembre 2010 Le dispositif de l'arrêt qui précède est communiqué par écrit aux intéressés. La greffière : Du L'arrêt qui précède, dont la rédaction a été approuvée à huis clos, est notifié à : ‑ M. Thierry Zumbach (pour F.________), ‑ M. V.________. La Chambre des recours considère que la valeur litigieuse est de 2'960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