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496 vom 23. September 2010</w:t>
      </w:r>
    </w:p>
    <w:p>
      <w:r>
        <w:t>VD Tribunal cantonal, 2010-09-23, FR</w:t>
      </w:r>
    </w:p>
    <w:p>
      <w:r>
        <w:rPr>
          <w:b/>
        </w:rPr>
        <w:t xml:space="preserve">Quelle: </w:t>
      </w:r>
      <w:r>
        <w:t>https://mcp.opencaselaw.ch/entscheid/vd_findinfo_HC___2010___496</w:t>
      </w:r>
    </w:p>
    <w:p>
      <w:r>
        <w:t>FR: VD_FINDINFO HC / 2010 / 496 du 23 septembre 2010</w:t>
      </w:r>
    </w:p>
    <w:p>
      <w:r>
        <w:t>IT: VD_FINDINFO HC / 2010 / 496 del 23 settembre 2010</w:t>
      </w:r>
    </w:p>
    <w:p>
      <w:pPr>
        <w:pStyle w:val="Heading2"/>
      </w:pPr>
      <w:r>
        <w:t>Regeste</w:t>
      </w:r>
    </w:p>
    <w:p>
      <w:r>
        <w:t>EXPULSION DE LOCATAIRE, BAIL À LOYER, DEMEURE DU DÉBITEUR, LOYER, LOGEMENT | 101 CO, 257d CO, 273 al. 1 CO, 457 al. 1 CPC, 9 Cst., 23 al. 2 LPEBL, 7 LPEBL, 9 LPEBL</w:t>
      </w:r>
    </w:p>
    <w:p>
      <w:pPr>
        <w:pStyle w:val="Heading2"/>
      </w:pPr>
      <w:r>
        <w:t>Erwägungen</w:t>
      </w:r>
    </w:p>
    <w:p>
      <w:r>
        <w:rPr>
          <w:b/>
        </w:rPr>
        <w:t>E. 1</w:t>
      </w:r>
    </w:p>
    <w:p>
      <w:r>
        <w:t>L'art. 23 al. 1 LPEBL ouvre un recours en nullité au Tribunal cantonal lorsque le juge était incompétent ou s'est déclaré à tort incompétent (let. a), pour absence d'assignation régulière (let. b) ou pour violation des règles essentielles de la procédure, lorsque l'informalité est de nature à influer sur le prononcé (let. c). Selon l'al. 2 de cette disposition, il y a également recours au Tribunal cantonal pour déni de justice, ce recours pouvant aboutir soit à la réforme soit à l'annulation de la décision attaquée (JT 2004 III 43). S'agissant des faits, la Chambre des recours dispose du pouvoir d'examen défini à l'art. 457 CPC (applicable en vertu du renvoi de l'art. 29 LPEBL), de telle sorte qu'elle doit admettre comme constants les faits retenus par le jugement, sauf contradiction avec les pièces du dossier et sous réserve du complètement sur la base de celui-ci (JT 2009 III 79; 2008 III 12 c. 3a; 1993 III 88). Toutefois, l'art. 23 LPEBL, qui confère un pouvoir d'examen limité à la Chambre des recours, ne saurait s'appliquer lorsque la validité du congé a été contestée en vertu de l'art. 274g al. 1 let. a CO. Dans un tel cas, la Chambre des recours, pour répondre aux exigences du droit fédéral, doit disposer d'un libre pouvoir d'examen du droit fédéral (JT 2004 III 79; Guignard, Procédures spéciales vaudoises, Lausanne 2008, n. 4 ad art. 23 LPEBL, p. 212). En l'espèce, la recourante n'ayant pas contesté le congé litigieux devant la commission de conciliation, l'autorité de recours doit donc examiner le recours en droit sous l'angle restreint de l'arbitraire (Guignard, op. cit., n. 3 ad art. 23 LPEBL, pp. 210 s.).</w:t>
      </w:r>
    </w:p>
    <w:p>
      <w:r>
        <w:rPr>
          <w:b/>
        </w:rPr>
        <w:t>E. 2</w:t>
      </w:r>
    </w:p>
    <w:p>
      <w:r>
        <w:t>a) Comme exposé précédemment, la Chambre des recours admet comme constants les faits tels qu'ils sont constatés par le jugement, sauf contradiction avec les pièces du dossier et sous réserve de complètement sur la base de celles-ci. La production de pièces nouvelles n'est admise que dans le cadre de moyens de nullité, mais non à l'appui de moyens de réforme (art. 25 LPEBL; Guignard, op. cit., n. 1 ad art. 25 LPEBL, p. 214). En l'espèce, l'état de fait de l'ordonnance est conforme aux pièces du dossier et a été complété sur la base de celles-ci, de sorte que la cour de céans est en mesure de statuer. La recourante n'invoquant aucun grief pouvant s'apparenter à un moyen de nullité, les pièces produites en annexe au recours, dans la mesure où elles sont nouvelles, doivent être écartées. b) Le déni de justice au sens des art. 9 Cst. (Constitution fédérale du 18 avril 1999; RS 101) et 23 al. 2 LPEBL consiste en une décision arbitraire, rompant manifestement l'égalité entre parties et violant un principe légal, ou encore une décision par laquelle le juge statue contrairement à une disposition légale précise ou se met en contradiction flagrante avec les pièces du dossier (Poudret/Haldy/Tappy, Procédure civile vaudoise, 3 ème éd., Lausanne 2002, n. 5 ad art. 356 CPC, p. 537). Il faut que la décision soit non seulement insoutenable, mais encore arbitraire dans son résultat (ATF 134 Il 124 c. 4.1 et les réf. citées).</w:t>
      </w:r>
    </w:p>
    <w:p>
      <w:r>
        <w:rPr>
          <w:b/>
        </w:rPr>
        <w:t>E. 3</w:t>
      </w:r>
    </w:p>
    <w:p>
      <w:r>
        <w:t>ème éd., n. 28 ad art. 257d CO). Faute de paiement dans le délai de trente jours imparti, la notification par la bailleresse d'une résiliation pour le 31 mai 2010 respectait les délais de l'art. 257d CO. Peu importe que, par la suite, soit le 13 avril 2010 selon l'intimée (cf. mémoire du 15 septembre 2010, ch. 14 p. 3), l'arriéré ait été payé (Lachat, op. cit., n. 2.2.3, p. 668). On reviendra sur ce point au c. 4d ci-dessous.</w:t>
      </w:r>
    </w:p>
    <w:p>
      <w:r>
        <w:rPr>
          <w:b/>
        </w:rPr>
        <w:t>E. 4</w:t>
      </w:r>
    </w:p>
    <w:p>
      <w:r>
        <w:t>La recourante invoque plusieurs moyens à l'appui de son recours. a) La recourante allègue tout d'abord que le congé n'aurait pas été donné par lettre recommandée ou lettre signature, contrairement à ce que prévoit le chiffre 4 du contrat de bail. Il apparaît toutefois que la recourante se méprend. En effet, la résiliation du 6 avril 2010 a bien été envoyée par pli recommandé avec accusé de réception, comme le confirme la pièce 6 du bordereau de la requérante. Ce pli n'a pas été retiré dans le délai de garde par sa destinataire, comme cela ressort de la même pièce. Par ailleurs, la pièce 5 produite par la recourante à l'appui de son recours, qui doit de toute manière être écartée dès lors qu'il s'agit d'une pièce nouvelle, pourrait indiquer que le courrier a été envoyé également sous pli simple. Quoi qu'il en soit, au vu de la pièce 6 susmentionnée, il s'avère que le congé a été donné conformément aux règles de forme. b) Ensuite, la recourante explique n'avoir pas reçu la mise en demeure à elle adressée le 15 février 2010 par pli recommandé au motif qu'elle est " souvent en voyages d'affaires et en vacances à l'étranger ". Elle y voit une violation du principe de la réception. Outre les références mentionnées au c. 3 ci-dessus (ATF 119 II 147, JT 1994 I 205; Lachat, op. cit., n. 2.2.2, p. 667; SVIT-Kommentar, 3 ème éd., n. 28 ad art. 257d CO), le Tribunal fédéral a plus largement rappelé que les courriers étaient censés remis le dernier jour du délai de garde postal, nonobstant les prolongations demandées à la poste, les absences ou les motifs pour lesquels l'intéressé ne retirait pas ses plis (cf. notamment ATF 134 V 49; 127 I 31; 123 III 492). En cas d'absence prolongée, il appartient à la partie de prendre des dispositions pour qu'un tiers s'occupe de son courrier. La fiction de notification ne vaut que si le destinataire devait s'attendre à un envoi (ATF 123 III 492). En l'espèce, il est possible que, comme la recourante l'a expliqué, elle ait été surprise par l'arrêt de l'ordre bancaire relatif au paiement du loyer. Mais elle n'a pas établi d'éléments propres à exclure le dépôt de l'avis postal dans sa boîte à lettres : revenant de voyage, elle devait réagir à cet avis, même si le délai de garde était écoulé. En l'occurrence, le courrier comportant la mise en demeure a été valablement notifié à la recourante le 25 février 2010, dernier jour du délai de garde postal. Le moyen doit par conséquent être rejeté. c) La recourante voit une violation du principe de l'instruction contradictoire dans le fait qu'elle n'a pas reçu copie de la requête d'expulsion adressée par l'intimée au juge de paix compétent. Tel n'est cependant pas le cas. Les arrêts cités par la recourante (ATF 120 II 11, 352 et 412) ne sont pas relevants en la matière. L'art. 7 LPEBL n'impose pas une notification à la partie adverse. En outre, les parties sont de toute manière informées du but de l'audience par la citation à comparaître à l'audience du juge (art. 9 LPEBL). Par ailleurs, il est loisible à la partie intimée de consulter le dossier au greffe avant l'audience. En l'espèce, la citation du 3 juin 2010 mentionnait l'objet de l'audience et le moyen doit dès lors être rejeté. d) La recourante conteste la possibilité pour l'intimée de persister dans sa volonté de résilier le bail, nonobstant le fait que la locataire était totalement à jour dans ses paiements depuis le 8 avril 2010. Cette critique tombe à faux. Tout d'abord, le locataire est responsable du paiement du loyer, qui est une dette portable. Il est également responsable des actes de ses auxiliaires, notamment des actes de la banque (art. 101 CO; Lachat, op. cit., n. 2.2.3, p. 668). En l'espèce, la recourante ne nie pas avoir commis une erreur dans les ordres bancaires, ce qui a impliqué la mise en demeure. A partir du moment où elle n'a pas payé le montant dû dans le délai comminatoire au 25 mars 2010, celui-ci n'était pas respecté et le bailleur pouvait résilier le bail (Lachat, op. cit., n. 2.3.1, p. 669). Au surplus, il n'y a aucun élément permettant de retenir la conclusion d'un contrat de bail tacite. Enfin, le bailleur n'abuse pas de son droit s'il maintient la résiliation pour non-paiement quand bien même il a reçu le paiement tardif du loyer (TF, arrêt du 27 février 1997, in CdB 1997 p. 65). Cela étant, le moyen doit être rejeté. e) Enfin, la recourante invoque le fait que, si elle a effectivement omis de saisir la commission de conciliation, elle n'a pas renoncé aux droits conférés par le chapitre 3 du Titre huitième du CO, soit les art. 271 ss CO. Elle se réfère à I'ATF 120 II 28. L'arrêt cité fait référence au défaut de la partie devant la commission de conciliation et à la possibilité reconnue pour celle-ci d'ouvrir tout de même action devant l'autorité judiciaire. L'art. 273 al. 1 CO est certes une disposition impérative. Encore faut-il toutefois que la partie, soit ici la recourante, ait saisi l'autorité de conciliation dans les trente jours, faute de quoi elle est irréparablement réputée avoir accepté le congé (SJ 2005 I 310; SJ 2005 I 249; Lachat, op. cit., n. 6.3, p. 757). Elle ne l'a pas fait en l'occurrence. Le moyen doit être rejeté, tout comme la conclusion subsidiaire tendant à ce que la cause soit transmise à l'autorité de conciliation.</w:t>
      </w:r>
    </w:p>
    <w:p>
      <w:r>
        <w:rPr>
          <w:b/>
        </w:rPr>
        <w:t>E. 5</w:t>
      </w:r>
    </w:p>
    <w:p>
      <w:r>
        <w:t>En définitive, le recours doit être rejeté et l'ordonnance confirmée. Les frais de deuxième instance de la recourante sont arrêtés à 200 francs (art. 230 al. 1 TFJC [tarif du 4 décembre 1984 des frais judiciaires en matière civile; RSV 270.11.5]). Obtenant gain de cause, l'intimée a droit à des dépens de deuxième instance (art. 91 et 92 CPC), qu'il convient de fixer à 200 fr. (art. 2 al. 1 let. A et art. 3 TAg [tarif du 22 février 1972 des honoraires d'agent d'affaires breveté dus à titre de dépens; RSV 179.11.3]). Par ces motifs, la Chambre des recours du Tribunal cantonal, statuant à huis clos, prononce : I. Le recours est rejeté. II. L'ordonnance est confirmée. III. Les frais de deuxième instance de la recourante sont arrêtés à 200 francs (deux cents francs). IV. La recourante L.________ doit verser à l'intimée J.________ la somme de 200 fr. (deux cents francs) à titre de dépens de deuxième instance. V. L'arrêt motivé est exécutoire. Le président :               Le greffier : Du 23 septembre 2010 Le dispositif de l'arrêt qui précède est communiqué par écrit aux intéressés. Le greffier : Du L'arrêt qui précède, dont la rédaction a été approuvée à huis clos, est notifié à : ‑ L.________, ‑ Jean-Marc Schlaeppi (pour J.________).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