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494 vom 17. Juni 2010</w:t>
      </w:r>
    </w:p>
    <w:p>
      <w:r>
        <w:t>VD Tribunal cantonal, 2010-06-17, FR</w:t>
      </w:r>
    </w:p>
    <w:p>
      <w:r>
        <w:rPr>
          <w:b/>
        </w:rPr>
        <w:t xml:space="preserve">Quelle: </w:t>
      </w:r>
      <w:r>
        <w:t>https://mcp.opencaselaw.ch/entscheid/vd_findinfo_HC___2010___494</w:t>
      </w:r>
    </w:p>
    <w:p>
      <w:r>
        <w:t>FR: VD_FINDINFO HC / 2010 / 494 du 17 juin 2010</w:t>
      </w:r>
    </w:p>
    <w:p>
      <w:r>
        <w:t>IT: VD_FINDINFO HC / 2010 / 494 del 17 giugno 2010</w:t>
      </w:r>
    </w:p>
    <w:p>
      <w:pPr>
        <w:pStyle w:val="Heading2"/>
      </w:pPr>
      <w:r>
        <w:t>Regeste</w:t>
      </w:r>
    </w:p>
    <w:p>
      <w:r>
        <w:t>ERREUR ESSENTIELLE, CLAUSE PÉNALE, ARRHES, ACOMPTE | 23 CO, 24 al. 1 ch. 4 CO, 457 al. 1 CPC</w:t>
      </w:r>
    </w:p>
    <w:p>
      <w:pPr>
        <w:pStyle w:val="Heading2"/>
      </w:pPr>
      <w:r>
        <w:t>Erwägungen</w:t>
      </w:r>
    </w:p>
    <w:p>
      <w:r>
        <w:rPr>
          <w:b/>
        </w:rPr>
        <w:t>E. 1</w:t>
      </w:r>
    </w:p>
    <w:p>
      <w:r>
        <w:t>a) Le recours est en réforme exclusivement et a été interjeté en temps utile. Il est formellement recevable. b) Selon l'art. 457 al. 1 CPC, lorsqu'il est saisi d'un recours en réforme contre un jugement rendu par un juge de paix, le Tribunal cantonal doit admettre comme constants les faits tels qu'ils ont été constatés par le jugement, à moins que la constatation d'un fait soit en contradiction avec les pièces du dossier. Il peut compléter les faits sur la base du dossier.</w:t>
      </w:r>
    </w:p>
    <w:p>
      <w:r>
        <w:rPr>
          <w:b/>
        </w:rPr>
        <w:t>E. 2</w:t>
      </w:r>
    </w:p>
    <w:p>
      <w:r>
        <w:t>a) La recourante invoque d'abord une violation des art. 23 et 24 CO (Code des obligations du 30 mars 1911, RS 220). Elle conteste que le demandeur se soit trouvé dans une erreur essentielle. Elle soutient que l'année de construction d'un véhicule ne serait pas un critère déterminant dans le domaine de la vente de véhicules d'occasion et resterait sans influence directe sur le prix de vente. b) En vertu de l'art. 23 CO, le contrat n'oblige pas celle des parties qui, au moment de conclure, était dans une erreur essentielle. Est une erreur essentielle notamment l'erreur dite de base telle que l'entend l'art. 24 al. 1 ch. 4 CO. Selon cette disposition, le contrat n'oblige pas celui qui, au moment de conclure, était dans l'erreur sur des faits considérés par lui comme des éléments nécessaires du contrat et qu'il pouvait tenir objectivement pour tels d'après les règles de la loyauté commerciale (ATF 132 II 161 c. 4.1; ATF 123 III 200 c. 2). Ainsi, l'erreur sur les motifs n'est essentielle que si elle porte sur des faits que la loyauté commerciale permettait à la victime de considérer comme des éléments nécessaires du contrat. En d'autres termes, l'erreur doit porter sur un fait subjectivement essentiel, qu'il est, en plus, objectivement justifié de considérer, selon le principe de la bonne foi en affaires, comme un élément essentiel du contrat (TF 4C.321/2006 du 1 er mai 2007 c. 4.1; ATF 118 II 58 c. 3b). A l'opposé, la simple erreur sur les motifs n'est pas essentielle. Elle consiste certes en une fausse représentation de la réalité, mais porte sur les motifs de la conclusion du contrat; celui qui s'est trompé doit en supporter les conséquences. L'art. 26 CO prévoit que la partie qui invoque son erreur pour se soustraire à l'effet du contrat est tenue de réparer le dommage résultant de l'invalidité de la convention si l'erreur provient de sa propre faute, à moins que l'autre partie n'ait connu ou dû connaître l'erreur. Le dédommagement porte sur l'intérêt négatif, le cocontractant devant être mis dans l'état où il se trouvait avant la conclusion du contrat (Schmidlin, Commentaire romand, Code des obligations I, Bâle 2003, n. 6 ad art. 26 CO, p. 173). c) Contrairement à ce que soutient la recourante et comme l’a relevé le premier juge, l’année de construction d’un véhicule d’occasion est un élément important pour l’acheteur et peut influer sur le prix que celui-ci déciderait de débourser pour un tel objet. Non seulement la valeur d’une voiture n’est pas la même selon l’année de construction, mais les caractéristiques mêmes du véhicule peuvent se modifier d’une année à l’autre, comme en atteste la présente espèce. Au reste, lorsque l’annonce à laquelle s’est fié l’acheteur mentionne «Année : 2007» s'agissant du véhicule litigieux (cf. pièce 2 du bordereau des pièces produites par le demandeur), ce dernier peut partir de l’idée qu’il s’agit là de l’année de construction, surtout si celle-ci coïncide, comme en l’occurrence, avec celle de l’immatriculation portée sur l’autre annonce du même type (cf. pièce 3 du bordereau des pièces produites par le demandeur) ainsi qu’avec celle figurant sur le permis de circulation de la voiture (cf. pièce 5 du bordereau des pièces produites par le demandeur). Le jugement doit dès lors être confirmé sur ce point. d) Pour ce qui est ensuite de l’éventuelle réparation du dommage consécutif à l’invalidation en relation avec la faute de l’acheteur, telle que prévue à l’art. 26 CO, c’est avec raison que le jugement attaqué retient le manque de diligence de l'intimé qui ne s’est pas suffisamment renseigné, avant de signer le contrat, sur l’année de construction du véhicule qu’il avait l’intention d’acquérir. C’est ainsi à juste titre que le fait de n’avoir pas interpellé la recourante sur ce point, alors même qu’il nourrissait des doutes lorsqu’il a inspecté le véhicule (cf. jgt, p. 2. ch. 2), et de ne s’être enquis que subséquemment auprès d’un expert sur l’année de construction de ce modèle a été imputé à faute à l'intimé. Toutefois, la recourante n'ayant pas prouvé son éventuel dommage, c’est à juste titre que le premier juge ne lui a rien alloué de ce chef. Cela n’est du reste pas remis en cause par la recourante. Le jugement doit dès lors également être confirmé sur ce point.</w:t>
      </w:r>
    </w:p>
    <w:p>
      <w:r>
        <w:rPr>
          <w:b/>
        </w:rPr>
        <w:t>E. 3</w:t>
      </w:r>
    </w:p>
    <w:p>
      <w:r>
        <w:t>La recourante soutient que le premier juge a violé l’art. 158 CO et que les arrhes versés par l'intimé au moment de la conclusion du contrat auraient dû être traités comme une peine conventionnelle versée d’avance. De manière contradictoire, elle fait valoir que la présomption de l’art. 158 al. 2 CO est obsolète et ne correspond plus à la pratique habituelle des affaires, pour se considérer en droit de garder le montant de 3'000 fr. versé par l'intimé sans avoir à apporter la preuve de son dommage. En vertu de l'art. 158 al. 2 CO, sauf usage local ou convention contraire, celui qui a reçu des arrhes les garde sans avoir à les imputer sur sa créance. On parle d'arrhes lorsqu'une partie remet à l'autre une somme ou un objet en signe de la conclusion du contrat, au moment de celle-ci. Les arrhes peuvent être remises à double titre: d'une part, à titre purement probatoire et la prestation ainsi assumée s'ajoute à l'obligation principale, d'autre part, à titre d'acompte et la prestation sera portée en déduction de l'obligation principale qui subsiste pour le surplus (Mooser, Commentaire romand, Code des obligations I, Bâle 2003, n. 3 ad art. 158-163 CO, p. 859). En principe le versement d'arrhes ne comporte pas de clause pénale. Toutefois, les parties peuvent prévoir que les arrhes versés vaudront peine conventionnelle en cas d'inexécution ou d'exécution imparfaite de l'obligation du débiteur (Mooser, op. cit., n. 4 ad art. 158-163 CO, p. 859). Il n’est pas contesté que la quittance signée par les parties en signe de conclusion du contrat parle d’ « arrhes » à propos des deux montants de 1000 fr. et 2'000 fr. versés par l'intimé. Ces deux montants, totalisant 3’000 fr., sont expressément portés en déduction du prix de vente, d’où un solde à payer au moment de la livraison de 47’100 fr. (cf. pièce 4 du bordereau des pièces produites par le demandeur). On ne se trouve donc pas dans le cas visé par la présomption de l’art. 158 al. 2 CO, où les arrhes sont versés à titre purement probatoire et où la prestation ainsi assumée s’ajoute à l’obligation principale, le créancier pouvant exiger l’intégralité de la prestation principale convenue. On se trouve bien plutôt dans le cas, qui prévaut en pratique, où les arrhes sont remis au vendeur par l’acheteur à titre d’acompte, la prestation ainsi assumée étant portée en déduction de l’obligation principale qui subsiste pour le surplus (cf. Mooser, op. cit, n. 3 ad art. 158-163, p. 859 et n. 4 ad art. 158, p. 861). Quant à la peine conventionnelle, s’il est vrai que les parties peuvent prévoir que les arrhes versées vaudront peine conventionnelle en cas d’inexécution ou d’exécution imparfaite de l’obligation du débiteur, encore faut-il qu’elles l’aient expressément prévu, ou à tout le moins qu’une telle clause pénale puisse être déduite des circonstances (cf. Mooser, op. cit., n.4 et 6 ad art. 158-163, pp. 859-860). Or, in casu, on serait bien en peine de trouver une telle clause dans la quittance précitée, puisque celle-ci ne prévoit précisément pas que les arrhes versées seraient acquises au vendeur en cas d’inexécution du contrat par l’acheteur, le cas échéant qu’elles vaudraient « peine conventionnelle payée d’avance » (cf. ATF 133 II 43 c. 3.2 , JT 2007 I 226). C'est d'autant moins le cas en l'espèce que le contrat a été invalidé valablement par erreur. Aucun élément ne permet d’accréditer la thèse de la recourante, de sorte que le recours doit également être rejeté sur ce point.</w:t>
      </w:r>
    </w:p>
    <w:p>
      <w:r>
        <w:rPr>
          <w:b/>
        </w:rPr>
        <w:t>E. 4</w:t>
      </w:r>
    </w:p>
    <w:p>
      <w:r>
        <w:t>En conclusion, le recours doit être rejeté en application de l'art. 465    al. 1 CPC et le prononcé confirmé. Les frais de deuxième instance de la recourante sont arrêtés à 300 fr. (art. 230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C.________Sàrl sont arrêtés à 300 fr. (trois cent francs). IV. L’arrêt motivé est exécutoire. Le président :               La greffière : Du 17 juin 2010 Le dispositif de l'arrêt qui précède est communiqué par écrit aux intéressés. La greffière : Du L'arrêt qui précède, dont la rédaction a été approuvée à huis clos, est notifié en expédition complète, par l'envoi de photocopies, à : ‑ M. Thierry Zumbach, agent d’affaires breveté (pour C.________Sàrl), ‑ M. Christophe Savoy, agent d’affaires breveté (pour M.________). La Chambre des recours considère que la valeur litigieuse est de   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