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483 vom 5. August 2010</w:t>
      </w:r>
    </w:p>
    <w:p>
      <w:r>
        <w:t>VD Tribunal cantonal, 2010-08-05, FR</w:t>
      </w:r>
    </w:p>
    <w:p>
      <w:r>
        <w:rPr>
          <w:b/>
        </w:rPr>
        <w:t xml:space="preserve">Quelle: </w:t>
      </w:r>
      <w:r>
        <w:t>https://mcp.opencaselaw.ch/entscheid/vd_findinfo_HC___2010___483</w:t>
      </w:r>
    </w:p>
    <w:p>
      <w:r>
        <w:t>FR: VD_FINDINFO HC / 2010 / 483 du 5 août 2010</w:t>
      </w:r>
    </w:p>
    <w:p>
      <w:r>
        <w:t>IT: VD_FINDINFO HC / 2010 / 483 del 5 agosto 2010</w:t>
      </w:r>
    </w:p>
    <w:p>
      <w:pPr>
        <w:pStyle w:val="Heading2"/>
      </w:pPr>
      <w:r>
        <w:t>Regeste</w:t>
      </w:r>
    </w:p>
    <w:p>
      <w:r>
        <w:t>CONSTATATION DES FAITS, APPRÉCIATION DES PREUVES, DOUTE, CONCLUSIONS | 411 let. h CPP, 411 let. i CPP, 447 al. 2 CPP</w:t>
      </w:r>
    </w:p>
    <w:p>
      <w:pPr>
        <w:pStyle w:val="Heading2"/>
      </w:pPr>
      <w:r>
        <w:t>Erwägungen</w:t>
      </w:r>
    </w:p>
    <w:p>
      <w:r>
        <w:rPr>
          <w:b/>
        </w:rPr>
        <w:t>E. 1</w:t>
      </w:r>
    </w:p>
    <w:p>
      <w:r>
        <w:t>Saisie d'un recours en nullité, la Cour de cassation n'examine que les moyens soulevés (art. 439 al. 1 CPP). Elle est liée par les conclusions en nullité mais non par les moyens invoqués (Bovay et alii, op. cit., n. 4 ad art. 439 CPP). En l'espèce, G.________ se limite à invoquer globalement certains arguments, sans relier ses griefs aux moyens correspondants de l'art. 411 CPP, disposition à laquelle il se réfère uniquement dans ses conclusions, en page 6 de son recours. Il appartient dès lors à la cour de céans de déterminer la nature des moyens invoqués.</w:t>
      </w:r>
    </w:p>
    <w:p>
      <w:r>
        <w:rPr>
          <w:b/>
        </w:rPr>
        <w:t>E. 2</w:t>
      </w:r>
    </w:p>
    <w:p>
      <w:r>
        <w:t>En annexe à son recours, le prénommé a produit plusieurs pièces. Or, selon une jurisprudence constante, la production de pièces nouvelles devant la cour de céans est en principe exclue. Elle n'est admise qu'à titre exceptionnel, à l'appui d'un recours en nullité exclusivement et à la condition que le fait qu'elle atteste soit à la fois postérieur à l'audience de jugement et antérieur à l'expiration du délai de recours (CCASS, 11 avril 2002, n° 162; CCASS, 17 mars 1999, n° 162; JT 1991 III 121; JT 1983 III 91; Bersier, op. cit., p. 93, ch. 42; Besse-Matile/Abravanel, op. cit., pp. 104 s.). En l'occurrence, chacune des pièces produites atteste d'un fait antérieur à l'audience de jugement. Partant, on ne saurait considérer comme recevables que celles qui se trouvent déjà au dossier.</w:t>
      </w:r>
    </w:p>
    <w:p>
      <w:r>
        <w:rPr>
          <w:b/>
        </w:rPr>
        <w:t>E. 3</w:t>
      </w:r>
    </w:p>
    <w:p>
      <w:r>
        <w:t>a) A la lecture des arguments développés par G.________ en page 2 de son recours, on comprend que celui-ci entend tout d'abord reprocher au tribunal d'avoir établi un état de fait lacunaire en omettant de préciser que le retrait de l'opposition et du recours auquel il a fait référence au considérant 2 de la décision attaquée était intervenu à la suite d'un accord entre les parties. b) Le moyen tiré de l'art. 411 let. h CPP, comme celui de l’art. 411 let. i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contrairement à ce que soutient G.________, le fait que le premier juge n'ait pas précisé les raisons pour lesquelles le prénommé avait "finalement retiré son opposition et un recours qu'il avait interjeté" dans le cadre de la procédure administrative (jugt, p. 2, c. 2) ne constitue pas un fait important pour le jugement de la cause. Même si, comme le prétend l'accusé, il fallait admettre que ledit retrait est intervenu à la suite d'un accord, cet élément n'aurait aucune incidence en l'espèce; le "dommage moindre" auquel se réfère le recourant sans plus amples explications (recours, p. 2 in initio ) semble plutôt relever du litige de nature privée entre les deux voisins. Enfin, si la décision entreprise fait état du retrait de l'opposition et du recours par l'intéressé, c'est uniquement pour situer les événements litigieux dans leur contexte général, les faits de la cause étant d'ailleurs examinés séparément (jugt, p. 5, dernier par.). Par conséquent, le moyen est mal fondé et doit être rejeté.</w:t>
      </w:r>
    </w:p>
    <w:p>
      <w:r>
        <w:rPr>
          <w:b/>
        </w:rPr>
        <w:t>E. 4</w:t>
      </w:r>
    </w:p>
    <w:p>
      <w:r>
        <w:t>a) Les moyens que fait ensuite valoir G.________ se confondent avec celui tiré de l’art. 411 let. i CPP. Le prénommé reproche au premier juge d'avoir principalement repris les propos du plaignant, "sans examen critique", et de leur avoir donné une "interprétation abusive" (recours, p. 6).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L'arbitraire n'existe pas du simple fait qu'une autre solution eût été possible ou serait apparue plus justifiée; encore faut-il qu'elle se révèle arbitraire, non seulement dans ses motifs, mais aussi dans son résultat (ATF 132 III 209). D'amples considérations d'un recourant, déclarant erronées certaines appréciations du jugement avant de plaider à nouveau sa propre thèse de l'appréciation des faits et témoignages, ne sont pas suffisantes (Bovay et alii, op. cit., n. 11.1 ad art. 411 let. i CPP). c) En l'espèce, G.________ semble soutenir que la lettre du 6 octobre 2009 qu'il a adressée à M.________ n'a pas été ouverte par des tiers; il se fonde notamment sur "l'examen de l'enveloppe" ayant contenu le courrier en question ainsi que sur la gestion de l'adressage des lettres par les entreprises. Or, force est de constater que les arguments de l'accusé sont d'ordre purement appellatoire, celui-ci se bornant à substituer sa propre version des faits à celle retenue par le premier juge sans expliquer d'ailleurs en quoi ce dernier se serait trompé. Il ne démontre en outre pas en quoi l'appréciation faite par le tribunal des propos tenus par M.________ à l'audience serait arbitraire. S'il est vrai que la lettre du 6 octobre 2009 mentionne d'abord le nom du plaignant, puis celui de son employeur (pièce 4/1), en adressant le courrier injurieux à l'adresse professionnelle de M.________, le recourant a toutefois pris le risque, qui s'est d'ailleurs produit, que le pli soit ouvert et lu par des tiers. S'il entendait prévenir un tel risque, il devait mentionner sur l'enveloppe les mots "personnelle" ou "confidentielle". Du reste, dans la mesure où G.________ a lui-même admis en audience avoir pris ce risque (jugt, p. 6, c. 4), il est mal venu de soutenir, en page 3 de son mémoire que "c'est induire la justice en erreur que prétendre que le courrier est intégralement ouvert et distribué ouvert" pour le motif que "dans toute entreprise, la distribution du courrier est sélective" et qu'"une entreprise ne peut fonctionner qu'avec un minimum de hiérarchie et un respect réciproque de l'intimité de chaque employé". A cela s'ajoute que dans ce même courrier, G.________ a mentionné le plaignant "à la troisième personne du singulier, exactement comme s'il s'adressait à des tiers en parlant de son voisin" (jugt, p. 8 in initio ). Cette tournure trahit l'intention de l'accusé, qui a donc "agi principalement dans le dessein de dire du mal de [M.________]" (jugt, p. 8, par. 2). Quant au courrier du 8 octobre 2009 (pièces 4/2 et 12), l'enveloppe ne mentionne même pas le nom du plaignant, mais uniquement la direction de l'entreprise de son employeur. On remarquera encore que le recourant tente en vain de démontrer, en page 5 du recours, que son voisin est bien l'auteur des actes qui lui sont reprochés dans la lettre du 6 octobre 2009. En effet, du moment que G.________ a reconnu au cours des débats qu'il ne pouvait pas prouver ses allégations (jugt, p. 6, c. 4), il est à tard pour le faire maintenant. Au vu de tous ces éléments, il n'est pas arbitraire de conclure que G.________ voulait faire passer M.________ comme une personne méprisable aux yeux de tiers. Dans ces conditions, la volonté de propager des propos attentatoires à l'honneur ne fait aucun doute, ce d'autant plus que le recourant admet lui-même qu'"un rapport existe entre la réputation d'une firme et le comportement de son personnel" (recours, p. 4 in fine ). Mal fondé, le moyen doit donc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En l’occurrence, G.________ n’invoque pas de moyens de réforme indépendants des moyens de nullité. Il ne développe d’ailleurs aucun moyen de réforme dans son mémoire. Dans la mesure où le prénommé ne prétend pas que la loi a été mal appliquée et ne prend aucune conclusion précise en ce sens, mais se borne à conclure qu'il "s'en remet à la Cour" (recours, p. 7), l'autorité de céans n'est pas en mesure d'entrer en matière sur le fond. Partant, le recours en réforme doit lui aussi être rejeté. 3. Pour le surplus, s'agissant des infractions retenues à l'encontre de l'accusé, on relèvera que c'est à tort que le tribunal a admis le concours entre la diffamation et l'injure en ce qui concerne les faits du 6 octobre 2009 (jugt, pp. 1 et 7, c. 5), dès lors que l'injure est subsidiaire par rapport à la diffamation et qu'elle s'efface lorsque les conditions de cette dernière sont réunies (Corboz, Les infractions en droit suisse, Vol. I, Berne 2002, n. 123 ad art. 173 CP et n. 38 ad art. 177 CP). La "circonstance aggravante du concours d'infractions" ne pouvant dès lors être retenue à charge (jugt, p. 9 in initio ), la peine aurait dû être réduite en conséquence. Toutefois, faute de conclusion expresse tendant à la diminution de la peine, on ne saurait réformer le jugement sur ce point (cf. art. 447 al. 2 1 ère phr. CPP). IV. En conclusion, les moyens soulevés par le recourant sont manifestement mal fondés. Le recours de G.________ doit donc être rejeté dans son intégralité. Vu l'issue du recours, les frais de deuxième instance seront mis à la charge du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