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480 vom 29. Juni 2010</w:t>
      </w:r>
    </w:p>
    <w:p>
      <w:r>
        <w:t>VD Tribunal cantonal, 2010-06-29, FR</w:t>
      </w:r>
    </w:p>
    <w:p>
      <w:r>
        <w:rPr>
          <w:b/>
        </w:rPr>
        <w:t xml:space="preserve">Quelle: </w:t>
      </w:r>
      <w:r>
        <w:t>https://mcp.opencaselaw.ch/entscheid/vd_findinfo_HC___2010___480</w:t>
      </w:r>
    </w:p>
    <w:p>
      <w:r>
        <w:t>FR: VD_FINDINFO HC / 2010 / 480 du 29 juin 2010</w:t>
      </w:r>
    </w:p>
    <w:p>
      <w:r>
        <w:t>IT: VD_FINDINFO HC / 2010 / 480 del 29 giugno 2010</w:t>
      </w:r>
    </w:p>
    <w:p>
      <w:pPr>
        <w:pStyle w:val="Heading2"/>
      </w:pPr>
      <w:r>
        <w:t>Regeste</w:t>
      </w:r>
    </w:p>
    <w:p>
      <w:r>
        <w:t>PROVISION{COMMISSION}, GRATIFICATION, DÉPENS | 322 CO, 322b CO, 444 CPC, 92 CPC, 94 CPC</w:t>
      </w:r>
    </w:p>
    <w:p>
      <w:pPr>
        <w:pStyle w:val="Heading2"/>
      </w:pPr>
      <w:r>
        <w:t>Erwägungen</w:t>
      </w:r>
    </w:p>
    <w:p>
      <w:r>
        <w:rPr>
          <w:b/>
        </w:rPr>
        <w:t>E. 1</w:t>
      </w:r>
    </w:p>
    <w:p>
      <w:r>
        <w:t>Les deux recours ont été déposés en temps utile. Le demandeur conclut exclusivement à la nullité, tandis que la défenderesse se limite à exercer le recours contre la décision relative à l'adjudication de dépens en vertu de l'art. 94 al. 1 CPC (Code de procédure civile du 14 décembre 1966, RSV 270.11). 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En l’occurrence, la valeur litigieuse résultant des conclusions des recourants est supérieure à 30'000 fr. et le jugement attaqué a été rendu dans une affaire civile régie par le droit fédéral. Le recours en matière civile au Tribunal fédéral est donc ouvert sur le fond. Le recours en réforme cantonal est donc exclu. En revanche, le recours en nullité est ouvert. En effet, 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2007 III 48 c. 3a; JT 2001 III 128). La LTF a remplacé le recours en réforme par le recours en matière civile;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La Chambre des recours n’entre en matière que sur les moyens de nullité dûment invoqués ( Poudret/Haldy/Tappy, Procédure civile vaudoise,</w:t>
      </w:r>
    </w:p>
    <w:p>
      <w:r>
        <w:rPr>
          <w:b/>
        </w:rPr>
        <w:t>E. 3</w:t>
      </w:r>
    </w:p>
    <w:p>
      <w:r>
        <w:t>Recours de H.________SA La recourante conteste le principe des dépens. Elle demande à être libérée de tous montants de ce chef et que des dépens fixés à dire de justice soient mis à la charge d’C.________. a) Selon l'article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Pour décider de la répartition des dépens, le juge doit rechercher lequel des plaideurs gagne le procès sur le principe, et non pas répartir les dépens proportionnellement aux montants alloués (Poudret/Haldy/Tappy, op. cit., n. 3 ad art. 92 CPC, p. 175). La partie qui a triomphé sur le principe ou sur les principales questions litigieuses a droit à la totalité des dépens ou à une partie de ceux-ci, lorsque ses conclusions ont été sensiblement réduites (JT 2001 III 2 c. 3 ; ibidem ). b) Sur la question des dépens, la Cour civile a tout d’abord rappelé en se référant à l’art. 92 al. 1 CPC, que le juge devait rechercher lequel des plaideurs gagnait le procès et lui allouer une certaine somme en remboursement de ses frais à la charge du plaideur perdant (cf. jgt, ch. XI, p. 44). Elle a ensuite relevé que le demandeur obtenait partiellement gain de cause tant sur le principe que sur la quotité de ses conclusions, à savoir un peu moins de 10% de celles-ci, tandis que la défenderesse succombait sur l’entier de ses conclusions reconventionnelles. Elle a dès lors alloué au demandeur des dépens réduits des trois quarts à la charge de la défenderesse. c) La recourante conteste les considérations de la Cour civile. Elle invoque qu’au contraire, le demandeur a totalement échoué au niveau de la preuve d’un quelconque droit à des arriérés de commissions. Elle allègue qu’il aurait été possible de s’épargner notamment une coûteuse expertise si c’était une gratification dont il avait été question. Elle soutient que le montant finalement alloué au demandeur correspondant à un fondement juridique tout autre que celui invoqué par ce dernier, on ne saurait affirmer qu’C.________ ait, dans ces circonstances, gagné quoi que ce soit sur le principe. C’est au contraire la recourante qui est parvenue à établir qu’elle avait raison sur le principe des prétendus arriérés de commissions réclamés. Elle estime dès lors avoir droit à des dépens, cas échéant partiels, et très subsidiairement elle se contenterait d’une compensation des dépens. d) En l’occurrence, le demandeur a obtenu une somme correspondant approximativement à 10% de ses conclusions actives. En outre, la défenderesse a vu ses propres conclusions reconventionnelles, initialement fixées à 200'000 fr., puis réduites dans son mémoire de droit à 10'000 fr., entièrement rejetées. Partant, c’est bien le demandeur qui gagne sur le principe, même si ses conclusions ont été sensiblement réduites. Au demeurant, rien ne permet de retenir, même si la question soumise à l’expert a été résolue par la Cour civile sur le plan juridique dans un sens différent de celui soutenu par le demandeur, que ce dernier aurait abusivement prolongé ou compliqué la procédure au sens de l’art. 92 al. 3 CPC. Dès lors, l’adjudication de dépens au demandeur et leur réduction de trois quarts ne prête pas le flanc à la critique. Au vu de ce qui précède, le recours de H.________SA doit donc lui aussi être rejeté.</w:t>
      </w:r>
    </w:p>
    <w:p>
      <w:r>
        <w:rPr>
          <w:b/>
        </w:rPr>
        <w:t>E. 4</w:t>
      </w:r>
    </w:p>
    <w:p>
      <w:r>
        <w:t>En conclusion, le recours en nullité interjeté par C.________ doit être rejeté. Le recours en réforme sur les dépens interjeté par H.________SA doit également être rejeté. Le jugement est par conséquent maintenu. Les frais de deuxième instance doivent être mis à la charge de chacun des recourants d'après les conclusions prises devant la cour de céans. Pour ce qui est du demandeur, la valeur litigieuse était de 216'513 francs. L'émolument devant être divisé par deux, s'agissant d'un conflit de droit du travail (cf. art. 10 al. 2 LJT [Loi sur la juridiction du travail, RSV 173.61] et 235 TFJC [tarif du 4 décembre 1984 des frais judiciaires en matière civile; RSV 270.11.5]), c'est un montant de 1'232 fr. 50, arrondi à 1'232 fr., qui doit être mis à la charge d'C.________. Pour ce qui est de la défenderesse, la valeur litigieuse a été réduite, par l'abandon de ses conclusions en nullité dans son mémoire de recours, au montant des dépens alloués à sa partie adverse, soit 9'128 fr. 80. L'émolument mis à la charge de H.________SA se monte dès lors à 195 fr. 50, arrondi à 195 francs. Par ces motifs, la Chambre des recours du Tribunal cantonal, statuant à huis clos, en application de l'art. 465 al. 1 CPC, prononce : I. Le recours d’C.________ et celui de H.________SA sont rejetés. II. Le jugement est maintenu. III. Les frais de deuxième instance du recourant C.________ sont arrêtés à 1'232 fr. (mille deux cent trente-deux francs). IV. Les frais de deuxième instance de la recourante H.________SA sont arrêtés à 195 fr. (cent nonante-cinq francs). V. L’arrêt motivé est exécutoire. Le vice-président : La greffière : Du 29 juin 2010 Le dispositif de l'arrêt qui précède est communiqué par écrit aux intéressés. La greffière : Du L'arrêt qui précède, dont la rédaction a été approuvée à huis clos, est notifié en expédition complète, par l'envoi de photocopies, à : ‑ Me Antoine Eigenmann, avocat (pour C.________), ‑ Me Philippe Vogel, avocat (pour H.________SA). La Chambre des recours considère que la valeur litigieuse est de 225'641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