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479 vom 9. Juni 2010</w:t>
      </w:r>
    </w:p>
    <w:p>
      <w:r>
        <w:t>VD Tribunal cantonal, 2010-06-09, FR</w:t>
      </w:r>
    </w:p>
    <w:p>
      <w:r>
        <w:rPr>
          <w:b/>
        </w:rPr>
        <w:t xml:space="preserve">Quelle: </w:t>
      </w:r>
      <w:r>
        <w:t>https://mcp.opencaselaw.ch/entscheid/vd_findinfo_HC___2010___479</w:t>
      </w:r>
    </w:p>
    <w:p>
      <w:r>
        <w:t>FR: VD_FINDINFO HC / 2010 / 479 du 9 juin 2010</w:t>
      </w:r>
    </w:p>
    <w:p>
      <w:r>
        <w:t>IT: VD_FINDINFO HC / 2010 / 479 del 9 giugno 2010</w:t>
      </w:r>
    </w:p>
    <w:p>
      <w:pPr>
        <w:pStyle w:val="Heading2"/>
      </w:pPr>
      <w:r>
        <w:t>Regeste</w:t>
      </w:r>
    </w:p>
    <w:p>
      <w:r>
        <w:t>TREIZIÈME SALAIRE, INDEMNITÉ{EN GÉNÉRAL}, RÉSILIATION IMMÉDIATE, CLAUSE PÉNALE, RETENUE SUR LE SALAIRE, CONTRAT DE TRAVAIL | 160 CO, 323a CO, 337c al. 3 CO</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w:t>
      </w:r>
    </w:p>
    <w:p>
      <w:r>
        <w:rPr>
          <w:b/>
        </w:rPr>
        <w:t>E. 2</w:t>
      </w:r>
    </w:p>
    <w:p>
      <w:r>
        <w:t>Le recourant conclut subsidiairement à l'annulation mais ne développe aucun moyen spécifique de nullité. Cette conclusion est en conséquence irrecevable, la Chambre des recours n'examinant que les moyens de nullité dûment développés (Poudret/Haldy/Tappy, Procédure civile vaudoise, 3 ème éd., 2002, n. 2 ad art. 465 CPC, p. 722).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Le recourant soutient qu'il a droit à une indemnité pour licenciement avec effet immédiat injustifié correspondant au minimum à trois mois de salaire. Il fait valoir que sa faute concomitante doit être relativisée, car le travail frauduleux était toléré par l'intimée et même pratiqué par celle-ci, que les circonstances du licenciement étaient particulièrement humiliantes et qu'il convient de tenir compte du fait que l'intimée a déposé une plainte pénale contre lui, alors qu'elle n'avait aucun élément concret permettant de conclure qu'il avait enfreint des dispositions pénales. Selon l'art. 337c al. 3 CO, en cas de licenciement avec effet immédiat injustifié, le juge peut condamner l'employeur à verser au travailleur une indemnité dont il fixera librement le montant, compte tenu de toutes les circonstances; elle ne peut toutefois dépasser le montant correspondant à six mois de salaire du travailleur. L'indemnité revêt une fonction punitive et réparatrice s'apparentant à une peine conventionnelle (ATF 135 III 405 c. 3.1; ATF 123 III 391 c. 3c, JT 1998 I 126). Elle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l'article 337c alinéa 3 CO (TF 4C.244/2001 du</w:t>
      </w:r>
    </w:p>
    <w:p>
      <w:r>
        <w:rPr>
          <w:b/>
        </w:rPr>
        <w:t>E. 9</w:t>
      </w:r>
    </w:p>
    <w:p>
      <w:r>
        <w:t>juin 2010 Le dispositif de l'arrêt qui précède est communiqué par écrit aux intéressés. Le greffier : Du L'arrêt qui précède, dont la rédaction a été approuvée à huis clos, est notifié en expédition complète, par l'envoi de photocopies, à : ‑ Me Olivier Subilia (pour M.________), ‑ Me Franck Tièche (pour G.________ SA). La Chambre des recours considère que la valeur litigieuse est de 15'113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