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476 vom 20. Juli 2010</w:t>
      </w:r>
    </w:p>
    <w:p>
      <w:r>
        <w:t>VD Tribunal cantonal, 2010-07-20, FR</w:t>
      </w:r>
    </w:p>
    <w:p>
      <w:r>
        <w:rPr>
          <w:b/>
        </w:rPr>
        <w:t xml:space="preserve">Quelle: </w:t>
      </w:r>
      <w:r>
        <w:t>https://mcp.opencaselaw.ch/entscheid/vd_findinfo_HC___2010___476</w:t>
      </w:r>
    </w:p>
    <w:p>
      <w:r>
        <w:t>FR: VD_FINDINFO HC / 2010 / 476 du 20 juillet 2010</w:t>
      </w:r>
    </w:p>
    <w:p>
      <w:r>
        <w:t>IT: VD_FINDINFO HC / 2010 / 476 del 20 luglio 2010</w:t>
      </w:r>
    </w:p>
    <w:p>
      <w:pPr>
        <w:pStyle w:val="Heading2"/>
      </w:pPr>
      <w:r>
        <w:t>Regeste</w:t>
      </w:r>
    </w:p>
    <w:p>
      <w:r>
        <w:t>JUGEMENT PAR DÉFAUT, RESPONSABILITÉ DES ORGANES D'UNE SOCIÉTÉ | 306 al. 2 CPC, 306 al. 3 CPC</w:t>
      </w:r>
    </w:p>
    <w:p>
      <w:pPr>
        <w:pStyle w:val="Heading2"/>
      </w:pPr>
      <w:r>
        <w:t>Erwägungen</w:t>
      </w:r>
    </w:p>
    <w:p>
      <w:r>
        <w:rPr>
          <w:b/>
        </w:rPr>
        <w:t>E. 1</w:t>
      </w:r>
    </w:p>
    <w:p>
      <w:r>
        <w:t>La voie du recours en nullité (art. 444 et 445 CPC) et celle du recours en réforme (art. 451 ch. 3 CPC) est ouverte contre un jugement principal rendu par un président de tribunal comme juge unique.</w:t>
      </w:r>
    </w:p>
    <w:p>
      <w:r>
        <w:rPr>
          <w:b/>
        </w:rPr>
        <w:t>E. 2</w:t>
      </w:r>
    </w:p>
    <w:p>
      <w:r>
        <w:t>L'acte de recours doit contenir notamment les conclusions du recourant (art. 461 al. 1 let. b CPC). A défaut des précisions exigées par cette disposition, la jurisprudence s'est contentée d'interpréter l'acte de recours, tenant celui-ci pour recevable lorsqu'il permet de déterminer avec certitude l'intention du recourant ou lorsque sa nature ressort suffisamment des conclusions prises. La nature du recours doit se déterminer d'après la question soulevée et les moyens invoqués, non d'après les termes inadéquats utilisés (Poudret/Haldy/Tappy, Procédure civile vaudoise, 3ème éd., Lausanne 2002, n. 3 ad art. 461 CPC, pp. 715-716 et les arrêts cités). On ne saurait tenir compte des conclusions prises après l'expiration du délai de recours, en particulier dans le mémoire ampliatif de l'art. 465 CPC (Poudret/Haldy/Tappy, op. cit., n. 2 ad art. 461 CPC, p. 714). En l'espèce, l'acte de recours précise que le jugement est attaqué en nullité. Toutefois, dans la mesure où cet acte indique comme fondements du recours "erreur essentielle, vice de forme et manque total de preuves" et prend implicitement une conclusion libératoire, avec suite de frais, il convient de retenir que le recourant conteste le jugement en nullité et en réforme.</w:t>
      </w:r>
    </w:p>
    <w:p>
      <w:r>
        <w:rPr>
          <w:b/>
        </w:rPr>
        <w:t>E. 3</w:t>
      </w:r>
    </w:p>
    <w:p>
      <w:r>
        <w:t>a) L'énonciation séparée des moyens de nullité est une condition de recevabilité du recours en nullité. La Chambre des recours n'examine donc que les moyens de nullité développés séparément (Poudret/Haldy/Tappy, op. cit., n. 2 ad art. 465 CPC, p. 722). b) A l’appui de son recours en nullité, le recourant se plaint tout d'abord d’un « vice de forme » en ce que le premier juge n’aurait pas même lu ses arguments et l’aurait « jugé par défaut en 5 minutes ». Son jugement serait un «copier/coller de tous les articles mentionnés dans la demande de Me A.________» et nulle part on ne trouverait « des commentaires ou une appréciation des arguments » qu’il avait développés dans sa réponse. En procédure accélérée, applicable dans la présente espèce, lorsque l’une des parties fait défaut à l’audience préliminaire, le président juge par défaut sur le vu des mémoires et des pièces, après audition de la partie présente ; les règles du chapitre VI du titre VIII du Code de procédure civile sont au surplus applicables (art. 343 CPC). Selon l’art. 306 al. 2 et 3 CPC, les faits allégués par la partie présente sont réputés vrais dans la mesure où le contraire ne résulte pas du dossier; les faits allégués par la partie défaillante ne sont retenus qu’autant qu’ils sont prouvés. En l’occurrence, le recourant a certes déposé une « réponse ». Toutefois, dans la mesure où il n’y alléguait aucun fait, mais se contentait de se déterminer sur les allégués du demandeur, le président n’avait pas à retenir des «faits allégués par la partie défaillante»; il pouvait se contenter de retenir les faits allégués par la partie présente, qui bénéficiaient de la présomption d’exactitude, à condition qu’ils ne soient pas contredits par les pièces du dossier. C’est ce qu’a fait en l’occurrence le premier juge et le recourant n’indique pas sur quel point l’un ou l’autre des faits retenus aurait été en contradiction avec les pièces du dossier. Pour ce qui est de l’argumentation juridique exposée dans le jugement, celle-ci sera examinée dans le cadre du recours en réforme. c) Le recourant « accuse » ensuite le premier juge « d’avoir mal fait (ou pas fait du tout) son travail » et il le « soupçonne de collusion avec le demandeur ». Concernant le grief de « collusion », dans la mesure où il vise l’un des motifs qui justifieraient la récusation du magistrat (cf. art. 42 CPC), il est admis que, lorsque le motif de récusation n’est pas apparu avant le jugement, ce grief puisse faire l’objet d’un recours en nullité pour violation du droit constitutionnel à l’égalité entre les parties (cf. Poudret/Haldy/Tappy, op. cit., n. 3 ad art. 42 CPC et les réf.). In casu, cependant, on ne voit pas en quoi le fait d’appliquer la loi (notamment la présomption d'exactitude attachée aux allégués de la partie présente; cf. c. 3b ci-dessus), serait de nature à compromettre l’impartialité du président en charge de l'affaire. Pour le surplus, le recourant n’indique aucun motif relatif aux relations entre ce magistrat et le demandeur au fond qui aurait pu influencer d’une manière quelconque le jugement. Le grief est ainsi infondé. Le recours en nullité doit dès lors être rejeté.</w:t>
      </w:r>
    </w:p>
    <w:p>
      <w:r>
        <w:rPr>
          <w:b/>
        </w:rPr>
        <w:t>E. 4</w:t>
      </w:r>
    </w:p>
    <w:p>
      <w:r>
        <w:t>a) Les conclusions libératoires du recours reprennent celle de la première instance; elles sont recevables (art. 452 al. 1 CPC).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JT 2003 III 3, 16 et 109). Dans ces limites, la Chambre des recours revoit librement la cause en fait et en droit (art. 452 al. 2 CPC).</w:t>
      </w:r>
    </w:p>
    <w:p>
      <w:r>
        <w:rPr>
          <w:b/>
        </w:rPr>
        <w:t>E. 5</w:t>
      </w:r>
    </w:p>
    <w:p>
      <w:r>
        <w:t>A l’appui de son recours en réforme, le recourant se borne à soutenir, comme il l’avait déjà fait dans sa réponse devant l’autorité de première instance (cf. Réponse, Considérations du défendeur, p. 7), que la note d’honoraires adressée par le demandeur aux deux sociétés P.________ Sàrl et I. &amp; P. ________ Sàrl le 12 décembre 2003 (cf. pièce 2) ne concerne ni la société P.________ Sàrl ni ses dirigeants. Selon lui, cette note concernait la société I. &amp; P. ________ Sàrl, dans la faillite de laquelle elle aurait dû être produite, et non la société P.________ Sàrl, même si cette dernière a payé «un montant de provision de 6'456 fr., ce qui couvre largement la part inhérente à cette société de la facture totale». Selon la jurisprudence, dans le cadre d’un procès en responsabilité mené contre un organe d’une société en faillite, le fondement matériel de la prétention du créancier demandeur qui agit en qualité de cessionnaire des droits de la masse au sens de l’art. 260 LP, comme en l’occurrence, ne peut être revu par les juges (ATF 132 III 564 c. 6.1; 132 III 342 c. 2.2 et 2.3, JT 2007 I 51 et les réf. citées). L’admission définitive à l’état de collocation suffit pour que la condition de la qualité pour agir dans le procès en responsabilité soit remplie. Il n’y a pas davantage à examiner dans ce cadre l’existence matérielle de la créance colloquée définitivement. Les griefs émis par l’une des parties à l’encontre de l’état de collocation entré en force de chose décidée n’ont ainsi pas à être entendus. C’est dès lors en pure perte que le recourant s’efforce de démontrer que la créance de l'intimé, définitivement colloquée dans la faillite de P.________ Sàrl (cf. pièce 31, p. 7), ne serait pas fondée. Pour le surplus, les considérations du premier juge pour admettre l’action en responsabilité dirigée par l'intimé contre les administrateurs de la société à responsabilité limitée, qui ne sont pas remises en cause par le recourant, peuvent être confirmées par adoption de motifs, car complètes et convaincantes (art. 471 al. 3 CPC). Le recours en réforme doit donc également être rejeté.</w:t>
      </w:r>
    </w:p>
    <w:p>
      <w:r>
        <w:rPr>
          <w:b/>
        </w:rPr>
        <w:t>E. 6</w:t>
      </w:r>
    </w:p>
    <w:p>
      <w:r>
        <w:t>En définitive, le recours doit être rejeté, en application de l'art. 465 al. 1 CPC, et le jugement confirmé. Les frais de deuxième instance du recourant sont arrêtés à 421 fr. (art. 232 TFJC; RSV 270.11.5). Par ces motifs, la Chambre des recours du Tribunal cantonal, statuant à huis clos, en application de l'art. 465 al. 1 CPC, prononce : I. Le recours est rejeté. II. Le jugement est confirmé. III. Les frais de deuxième instance du recourant D.________ sont arrêtés à 421 fr. (quatre cent vingt et un francs). IV. L'arrêt motivé est exécutoire. Le président :               Le greffier : Du 20 juillet 2010 Le dispositif de l'arrêt qui précède est communiqué par écrit aux intéressés. Le greffier : Du L'arrêt qui précède, dont la rédaction a été approuvée à huis clos, est notifié en expédition complète, par l'envoi de photocopies, à : ‑ M. D.________, ‑ Me  A.________, - M. X.________. La Chambre des recours considère que la valeur litigieuse est de 12'193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