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445 vom 20. April 2010</w:t>
      </w:r>
    </w:p>
    <w:p>
      <w:r>
        <w:t>VD Tribunal cantonal, 2010-04-20, FR</w:t>
      </w:r>
    </w:p>
    <w:p>
      <w:r>
        <w:rPr>
          <w:b/>
        </w:rPr>
        <w:t xml:space="preserve">Quelle: </w:t>
      </w:r>
      <w:r>
        <w:t>https://mcp.opencaselaw.ch/entscheid/vd_findinfo_HC___2010___445</w:t>
      </w:r>
    </w:p>
    <w:p>
      <w:r>
        <w:t>FR: VD_FINDINFO HC / 2010 / 445 du 20 avril 2010</w:t>
      </w:r>
    </w:p>
    <w:p>
      <w:r>
        <w:t>IT: VD_FINDINFO HC / 2010 / 445 del 20 aprile 2010</w:t>
      </w:r>
    </w:p>
    <w:p>
      <w:pPr>
        <w:pStyle w:val="Heading2"/>
      </w:pPr>
      <w:r>
        <w:t>Regeste</w:t>
      </w:r>
    </w:p>
    <w:p>
      <w:r>
        <w:t>PEINE PÉCUNIAIRE, RÉVOCATION DU SURSIS, SURSIS À L'EXÉCUTION DE LA PEINE, FIXATION DE LA PEINE | 34 al. 2 CP, 42 al. 1 CP, 46 al. 1 CP, 47 CP</w:t>
      </w:r>
    </w:p>
    <w:p>
      <w:pPr>
        <w:pStyle w:val="Heading2"/>
      </w:pPr>
      <w:r>
        <w:t>Erwägungen</w:t>
      </w:r>
    </w:p>
    <w:p>
      <w:r>
        <w:rPr>
          <w:b/>
        </w:rPr>
        <w:t>E. 4</w:t>
      </w:r>
    </w:p>
    <w:p>
      <w:r>
        <w:t>a) Enfin, R.________ soutient que "la peine prononcée contre lui (…) est excessivement sévère" (recours, p. 3). Le prénommé conteste donc implicitement la quotité de la peine pécuniaire, qu'il ne reproduit d'ailleurs pas dans ses conclusions, se limitant à conclure à ce qu'il soit condamné à "une peine pécuniaire" assortie du sursis. b) Lorsqu'il s'agit de prononcer une peine pécuniaire, le juge doit  fixer le nombre de jours-amende en fonction de la culpabilité de l'auteur. La peine pécuniaire ne peut excéder trois cent soixante jours-amende (art. 34 al. 1 CP).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La cour de céans ne peut modifier la peine infligée que si elle a été fixée sur la base d'une argumentation erronée ou si elle est arbitrairement clémente ou sévère. La fixation de la peine, dans les limites légales, lui échappe, à moins que le tribunal qui a jugé n'ait outrepassé son pouvoir d'appréciation en portant un jugement manifestement insoutenable, arbitrairement sévère ou clément (Bovay/Dupuis/Monnier/Moreillon/Piguet, Procédure pénale vaudoise, Code annoté, 3 e éd., Bâle 2008, n. 1.4 ad art. 415 CPP et les réf. cit.;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En l'espèce, le tribunal a indiqué que vu "la culpabilité de l'auteur, ses antécédents, sa situation personnelle ainsi que l'effet de la peine sur son avenir (…), la quotité de la peine de trente-sept jours-amende prononcée par le Juge d'instruction [était] tout à fait adéquate" (jugt, p. 5, c. 4). Bien que brièvement motivé, le choix du premier juge ne prête pas le flanc à la critique. S'il est vrai que R.________ a admis les faits, qu'il n'est pas dépendant de l'alcool et qu'il a une bonne réputation, cela ne suffit toutefois pas à remettre en doute la quotité de la peine. Quant à l'effet de la sanction sur son avenir, une condamnation pourrait certes l'"affecter" (recours, p. 9, ch. 21), mais on ne voit pas en quoi "la société et donc ses douze employés" seraient mis en péril par une peine pécuniaire de trente-sept jours-amende. C'est bien plutôt "le retrait du permis" qui semble préoccuper le prénommé (recours, p. 8, ch. 16); or, ce seul élément ne requiert pas que la peine correspondant à sa culpabilité soit réduite, ce d'autant plus que le tribunal a constaté que "la conduite de véhicule automobile n'est pas le gagne-pain de cet accusé" (jugt, p. 6, par. 1). Ainsi, en fixant la peine pécuniaire à trente-sept jours-amende, le tribunal n'est pas sorti du cadre légal de la peine et a tenu compte des facteurs pertinents pour apprécier la culpabilité du recourant. Au vu des considérations qui précèdent, la peine prononcée n'apparaît pas excessivement sévère au point de constituer un abus du pouvoir d'appréciation. Mal fondé, le moyen doit être rejeté.</w:t>
      </w:r>
    </w:p>
    <w:p>
      <w:r>
        <w:rPr>
          <w:b/>
        </w:rPr>
        <w:t>E. 5</w:t>
      </w:r>
    </w:p>
    <w:p>
      <w:r>
        <w:t>En conclusion, le recours de R.________ doit être rejeté et le jugement confirmé, en application de l'art. 431 al. 2 CPP. Les frais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