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444 vom 30. Juni 2010</w:t>
      </w:r>
    </w:p>
    <w:p>
      <w:r>
        <w:t>VD Tribunal cantonal, 2010-06-30, FR</w:t>
      </w:r>
    </w:p>
    <w:p>
      <w:r>
        <w:rPr>
          <w:b/>
        </w:rPr>
        <w:t xml:space="preserve">Quelle: </w:t>
      </w:r>
      <w:r>
        <w:t>https://mcp.opencaselaw.ch/entscheid/vd_findinfo_HC___2010___444</w:t>
      </w:r>
    </w:p>
    <w:p>
      <w:r>
        <w:t>FR: VD_FINDINFO HC / 2010 / 444 du 30 juin 2010</w:t>
      </w:r>
    </w:p>
    <w:p>
      <w:r>
        <w:t>IT: VD_FINDINFO HC / 2010 / 444 del 30 giugno 2010</w:t>
      </w:r>
    </w:p>
    <w:p>
      <w:pPr>
        <w:pStyle w:val="Heading2"/>
      </w:pPr>
      <w:r>
        <w:t>Regeste</w:t>
      </w:r>
    </w:p>
    <w:p>
      <w:r>
        <w:t>LÉGITIMATION ACTIVE ET PASSIVE | 363 CO</w:t>
      </w:r>
    </w:p>
    <w:p>
      <w:pPr>
        <w:pStyle w:val="Heading2"/>
      </w:pPr>
      <w:r>
        <w:t>Erwägungen</w:t>
      </w:r>
    </w:p>
    <w:p>
      <w:r>
        <w:rPr>
          <w:b/>
        </w:rPr>
        <w:t>E. 1</w:t>
      </w:r>
    </w:p>
    <w:p>
      <w:r>
        <w:t>Les voies du recours en nullité (art. 444 et 447 CPC) et du recours en réforme (art. 451 ch.</w:t>
      </w:r>
    </w:p>
    <w:p>
      <w:r>
        <w:rPr>
          <w:b/>
        </w:rPr>
        <w:t>E. 4</w:t>
      </w:r>
    </w:p>
    <w:p>
      <w:r>
        <w:t>En définitive, le recours doit être rejeté, en application de l'art. 465 al. 1 CPC, et le jugement – non remis en cause pour le surplus - confirmé. Les frais de deuxième instance des recourants, solidairement entre eux, sont arrêtés à 350 fr. (art. 230 TJFC). Par ces motifs, la Chambre des recours du Tribunal cantonal, statuant à huis clos, en application de l'art. 465 al. 1 CPC, prononce : I. Le recours est rejeté. II. Le jugement est confirmé. III. Les frais de deuxième instance des recourants M.1________ et M.2________, solidairement entre eux, sont arrêtés à 350 fr. (trois cent cinquante francs). IV. L'arrêt motivé est exécutoire. Le président :               Le greffier : Du 30 juin 2010 Le dispositif de l'arrêt qui précède est communiqué par écrit aux intéressés. Le greffier : Du L'arrêt qui précède, dont la rédaction a été approuvée à huis clos, est notifié en expédition complète, par l'envoi de photocopies, à : ‑ M. Philippe Chiocchetti, aab (pour M.1________ et M.2________), ‑ E.________ Sàrl. La Chambre des recours considère que la valeur litigieuse est de 4'624 fr. 70.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