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436 vom 1. Juni 2010</w:t>
      </w:r>
    </w:p>
    <w:p>
      <w:r>
        <w:t>VD Tribunal cantonal, 2010-06-01, FR</w:t>
      </w:r>
    </w:p>
    <w:p>
      <w:r>
        <w:rPr>
          <w:b/>
        </w:rPr>
        <w:t xml:space="preserve">Quelle: </w:t>
      </w:r>
      <w:r>
        <w:t>https://mcp.opencaselaw.ch/entscheid/vd_findinfo_HC___2010___436</w:t>
      </w:r>
    </w:p>
    <w:p>
      <w:r>
        <w:t>FR: VD_FINDINFO HC / 2010 / 436 du 1 juin 2010</w:t>
      </w:r>
    </w:p>
    <w:p>
      <w:r>
        <w:t>IT: VD_FINDINFO HC / 2010 / 436 del 1 giugno 2010</w:t>
      </w:r>
    </w:p>
    <w:p>
      <w:pPr>
        <w:pStyle w:val="Heading2"/>
      </w:pPr>
      <w:r>
        <w:t>Regeste</w:t>
      </w:r>
    </w:p>
    <w:p>
      <w:r>
        <w:t>HAIE, DÉLIMITATION DU TERRAIN, COPROPRIÉTÉ, COMMUNAUTÉ DES COPROPRIÉTAIRES D'ÉTAGES, LÉGITIMATION ACTIVE ET PASSIVE, PRESCRIPTION, LIMITATION AUX CONCLUSIONS DES PARTIES | 670 CC, 457 al. 1 CPC, 457 al. 2 CPC, 457 al. 3 CPC, 457 CPC, 25 CRF, 59 al. 2 CRF</w:t>
      </w:r>
    </w:p>
    <w:p>
      <w:pPr>
        <w:pStyle w:val="Heading2"/>
      </w:pPr>
      <w:r>
        <w:t>Erwägungen</w:t>
      </w:r>
    </w:p>
    <w:p>
      <w:r>
        <w:rPr>
          <w:b/>
        </w:rPr>
        <w:t>E. 1</w:t>
      </w:r>
    </w:p>
    <w:p>
      <w:r>
        <w:t>Les art. 444, 447 et 451 ch. 4 CPC (Code de procédure civile du 14 décembre 1966; RSV 270.11) ouvrent la voie des recours en nullité et en réforme - dans la mesure pour ce dernier où la valeur litigieuse dépasse 1'000 fr. - contre les jugements principaux rendus par un juge de paix. Interjeté en temps utile, le recours, qui tend à la réforme et à la nullité, est recevable en la forme.</w:t>
      </w:r>
    </w:p>
    <w:p>
      <w:r>
        <w:rPr>
          <w:b/>
        </w:rPr>
        <w:t>E. 2</w:t>
      </w:r>
    </w:p>
    <w:p>
      <w:r>
        <w:t>En règle générale, le Tribunal cantonal délibère en premier lieu sur les moyens de nullité (art. 470 al. 1 CPC). Il n’examine toutefois que les moyens dûment développés (Poudret/Haldy/Tappy, Procédure civile vaudoise, 3 ème éd., Lausanne 2002, n. 2 ad art. 465 CPC, p. 722). Dans la mesure où la recourante reproche au premier juge d’avoir statué «extra petita», elle se plaint de la violation d’une règle essentielle de la procédure, dont la sanction est assurée par le recours en réforme contre un jugement rendu par un juge de paix (Poudret/Haldy/Tappy, op. cit., n. 4 ad art. 3 CPC, p. 15, et n. 15 ad art. 444 CPC, pp. 656-657, et les réf. citées). Les moyens exposés dans la partie «En Droit» du mémoire - relatifs à la prescription, au prétendu défaut de légitimation active de l'intimée et à l'application des dispositions du CRF - peuvent également être examinés dans le cadre du recours en réforme. En l'absence de moyen de nullité, le recours en nullité est ainsi irrecevable. Il convient dès lors d'examiner le recours en réforme.</w:t>
      </w:r>
    </w:p>
    <w:p>
      <w:r>
        <w:rPr>
          <w:b/>
        </w:rPr>
        <w:t>E. 3</w:t>
      </w:r>
    </w:p>
    <w:p>
      <w:r>
        <w:t>a) Les conclusions en réforme prises par la recourante dans son mémoire du 12 avril 2010 ne sont pas identiques à celles figurant dans l'acte de recours du 22 janvier 2010. Or, selon la jurisprudence, les conclusions doivent figurer dans l'acte de recours à peine d'irrecevabilité et l'on ne saurait tenir compte des conclusions prises après l'expiration du délai de recours, en particulier dans le mémoire ampliatif de l'art. 465 CPC (Poudret/Haldy/Tappy, op. cit., n. 2 ad art. 461 CPC, p. 714). En conséquence, il ne sera pas tenu compte des conclusions contenues dans le mémoire ampliatif, en tant qu'elles diffèrent de celles de l'acte de recours. b) 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sous réserve du fait que le procès-verbal de la séance de bornage est daté du 14 mars 2006 et non du 24 mars 2006 comme indiqué à la page 3 du jugement entrepris (cf. pièce n o 2 produite par la défenderesse) et que le jugement par lequel la Juge de paix du district de Nyon a notifié ce procès-verbal a été rendu le 28 mars 2006 et non le 26 mars 2006 (cf. jgt, p. 3 et pièce n o 1 de la défenderesse). Il convient en outre de compléter l'état de fait sur les points suivants: - Par lettre du 6 août 2007, la Juge de paix du district de Nyon a invité la Municipalité de Trélex à statuer sur la question de savoir si l'épicéa bleu sis en limite du jardin privatif de N.________, sur la parcelle de base n o [...], faisait l'objet d'une protection particulière et, dans l'affirmative, si l'abattage ou la taille pouvait néanmoins être autorisé; - Dans son rapport daté du 22 avril 2008 et déposé le 23 avril 2008, l'expert Cédric Chanson a indiqué que «l'axe du tronc de l'épicéa se trouve à 5 cm à l'extérieur de la parcelle privative, soit sur la parcelle commune (…) » (cf. réponse ad question n o 4); - Par courrier du 15 décembre 2008, N.________ a requis un second complément d'expertise; - Le 9 avril 2009, la recourante a informé la juge de paix qu'elle renonçait au complément d'expertise qu'elle avait sollicité le 15 décembre 2008. Il n'y a pas lieu de procéder à d'autres compléments, la cour de céans étant à même de statuer en réforme.</w:t>
      </w:r>
    </w:p>
    <w:p>
      <w:r>
        <w:rPr>
          <w:b/>
        </w:rPr>
        <w:t>E. 4</w:t>
      </w:r>
    </w:p>
    <w:p>
      <w:r>
        <w:t>La recourante fait valoir que l'intimée n’aurait pas la légitimation active, faute d’avoir respecté l’art. 44 du règlement d’administration et d’utilisation de la PPE, selon lequel l’accord de tous les copropriétaires est nécessaire, notamment pour les travaux d’entretien, de réparation et de réfection au sens de l’art. 647c CC. Outre que ce moyen n’a jamais été soulevé auparavant, le règlement de la PPE n’est lui-même pas versé au dossier. Quoi qu’il en soit, selon la doctrine, les actions tirées de la propriété, ainsi que celles fondées sur le droit de voisinage, appartiennent à la communauté des propriétaires d'étages (Wermelinger, La propriété par étages, 2 ème éd., 2008, n. 194 ad art. 712a CC, pp. 116-117). L'intimée était ainsi légitimée à agir contre la recourante. De plus, en l'espèce, l’ouverture de la présente action a été dûment autorisée lors de l'assemblée générale de la PPE du 7 avril 2005 (cf. jgt, p. 2), de sorte que le moyen basé sur le défaut de légitimation active de l'intimée est infondé.</w:t>
      </w:r>
    </w:p>
    <w:p>
      <w:r>
        <w:rPr>
          <w:b/>
        </w:rPr>
        <w:t>E. 5</w:t>
      </w:r>
    </w:p>
    <w:p>
      <w:r>
        <w:t>La recourante ne s'y est pas opposée et a conclu à libération (cf. jgt, pp. 4-5). Au vu de ce qui précède, c'est dès lors à bon droit que la juge de paix a pris en considération les conclusions de l'intimée telles que précisées à l’audience de jugement du 10 septembre 2009 et le moyen de la recourante, qui apparaît abusif, doit en conséquence être rejeté.</w:t>
      </w:r>
    </w:p>
    <w:p>
      <w:r>
        <w:rPr>
          <w:b/>
        </w:rPr>
        <w:t>E. 6</w:t>
      </w:r>
    </w:p>
    <w:p>
      <w:r>
        <w:t>a) La recourante fait également grief au premier juge d’avoir, tout en rejetant les conclusions I et III de l'intimée (cf. ch. I du dispositif du jugement attaqué), ajouté que les plantations en question faisaient office de haie vive mitoyenne, dont la hauteur ne pouvait, sans consentement des deux parties, dépasser deux mètres, y compris le thuya. Elle estime que la juge de paix «a statué extra petita en retenant une prétention qui n’a jamais été formulée». Elle prétend en outre avoir invoqué le moyen tiré de la prescription. b) La formulation du chiffre I du dispositif pourrait certes prêter à discussion. En réalité, le premier juge a rejeté la conclusion de l'intimée en enlèvement des plantations, mais il a - implicitement - admis partiellement la conclusion en écimage. A l'audience préliminaire du 22 novembre 2007, l'intimée a expressément maintenu les conclusions de sa requête sur ce point, soit sa conclusion I qui tendait notamment à «l’écimage réglementaire de ceux-ci [des arbres et arbustes plantés à une distance moindre de 50 cm de la limite des zones communes de la PPE], soit à une hauteur de 2 mètres pour les arbustes et 3 mètres pour les arbres». Ainsi, la juge de paix pouvait, comme elle l’a fait, limiter la hauteur des plantations constituant une haie vive mitoyenne, en conformité avec l’art. 38 CRF. Quant à la prescription, il résulte tant du procès-verbal de l’audience préliminaire du 22 novembre 2007 que de celui de l’audience de jugement du 10 septembre 2009 (cf. jgt, pp. 4-5) - dont la recourante ne prétend pas que la teneur serait inexacte - que ce moyen n’a été invoqué qu’en relation avec l’épicéa et non, comme elle le prétend (cf. mémoire, p. 7, contredisant ce qui figure dans la même écriture sous ch. II, p. 3), avec l’ensemble des plantations litigieuses. Or, la prescription de l'art. 59 al. 2 CRF n'a pas à être appliquée d'office (Piotet, Le droit privé vaudois de la propriété foncière, Lausanne 1991, n. 1182, p. 541). Au demeurant, rien ne permettrait de retenir - l’expertise n’ayant porté que sur la hauteur de l’épicéa ces vingt dernières années (cf. jgt, p. 4) - que les conditions de l’art. 59 al. 2 CRF seraient en l’espèce remplies s’agissant de ces plantations-là. Mal fondé, le recours doit être rejeté sur ce point.</w:t>
      </w:r>
    </w:p>
    <w:p>
      <w:r>
        <w:rPr>
          <w:b/>
        </w:rPr>
        <w:t>E. 7</w:t>
      </w:r>
    </w:p>
    <w:p>
      <w:r>
        <w:t>a) La recourante reproche en outre au premier juge d’avoir «décrété que l’épicéa bleu dont la PPE (…) a requis l’enlèvement est planté sur la parcelle commune, dont il fait partie intégrante et peut en conséquence être librement enlevé par la demanderesse, dans la mesure où il ne fait l’objet d’aucune protection particulière de la part de la Municipalité de Trélex». Elle se réfère aux plans [...] et F.________, et tente de démontrer qu’en réalité, l’arbre litigieux est situé sur sa parcelle. De surcroît, elle rappelle qu’elle a invoqué à cet égard la prescription de l’art. 59 al. 2 CRF. b) Il résulte du procès-verbal de bornage du 14 mars 2006, auquel le jugement se réfère expressément (cf. pp. 3-4), que le tronc de l’épicéa litigieux «est situé sur la partie commune de la PPE». Cette constatation se trouve confirmée par l’expert, qui mentionne dans son rapport en réponse à la question n o 4 que «l’axe du tronc de l’épicéa se trouve à 5 cm à l’extérieur de la parcelle privative, soit sur la parcelle commune». Il s’agit là d’un fait que la Chambre des recours doit admettre comme constant (cf. art. 457 al. 1 CPC) et qui lie celle-ci. C’est donc en vain que la recourante tente de le remettre en cause dans le présent recours. En outre, dans le cadre du précédent recours interjeté par la recourante contre le jugement du juge de paix du 28 mars 2006 notifiant le procès-verbal de bornage précité aux parties, la question était déjà litigieuse. Dans son arrêt du 24 janvier 2007, la cour de céans avait clairement indiqué que pour faire valoir un droit plus étendu, la recourante devait, si elle s’y estimait fondée, entreprendre une action en revendication, une action négatoire ou une action en constatation de propriété (cf. jgt, p. 3). La présente procédure portant exclusivement sur une contestation relative aux plantations (cf. art. 46 ss CRF) et non sur une revendication de propriété, c’est à bon droit que la juge de paix a constaté que l’épicéa litigieux était planté sur la parcelle commune dont il fait partie intégrante et qu’il pouvait être enlevé librement par l'intimée, dans la mesure où il ne fait l’objet d’aucune protection particulière de la Municipalité de Trélex. L’objection de la recourante tirée de la prescription au sens de l’art. 59 al. 2 CRF est dès lors dépourvue d’objet et le moyen, infondé, doit être rejeté.</w:t>
      </w:r>
    </w:p>
    <w:p>
      <w:r>
        <w:rPr>
          <w:b/>
        </w:rPr>
        <w:t>E. 8</w:t>
      </w:r>
    </w:p>
    <w:p>
      <w:r>
        <w:t>a) Enfin, la recourante soulève les mêmes griefs que ceux exposés au considérant précédent à l’égard des plantations situées entre les points 3 et 4 du plan cadastral établi le 7 novembre 2007 par le géomètre F.________ et fait valoir que celui-ci n’est pas conforme. Elle soutient que le premier juge n’a pas clairement défini les plantations litigieuses et que l’expert n’a pas non plus décrit celles-ci, ce qui était indispensable «afin d’éviter l’enlèvement éventuel de plantations protégées propriété de la recourante». b) Les mêmes remarques que celles figurant au considérant 7b ci-dessus peuvent être formulées. Comme le constate le jugement en se référant au rapport d’expertise (cf. jgt, p. 5), les plantations comprises entre les points 3 et 4 du plan cadastral F.________ - ainsi que le silo à compost - se trouvent en dehors de la limite de propriété de la recourante. Tout comme celle relative à l’épicéa, cette constatation lie la cour de céans et c’est en vain que la recourante tente de la remettre en cause dans le présent recours. Au surplus, sa critique adressée à l’expert de n’avoir pas décrit les plantations litigieuses tombe à faux. Non seulement celui-ci a précisé qu’il s’agissait «de haies vives composées de plusieurs variétés d’arbustes enchevêtrés en bosquets (…)» (cf. réponse à la question n o 5, jgt, p. 5), mais la recourante n’a pas jugé utile de faire porter sur cette question spécifique le complément d’expertise qu’elle avait requis. De surcroît, elle a renoncé le 9 avril 2009 au second complément d’expertise qu’elle avait demandé le 15 décembre 2008. Ainsi, le premier juge n’avait pas à définir plus avant les plantations litigieuses et il pouvait se contenter de constater, comme il l’a fait à bon droit, que celles-ci se trouvaient en-dehors de la limite d’usage de jardin de la recourante, soit sur la parcelle commune de la PPE intimée, avec les conséquences qui en découlent. Partant, le recours doit également être rejeté sur ce point.</w:t>
      </w:r>
    </w:p>
    <w:p>
      <w:r>
        <w:rPr>
          <w:b/>
        </w:rPr>
        <w:t>E. 9</w:t>
      </w:r>
    </w:p>
    <w:p>
      <w:r>
        <w:t>En conclusion, le recours doit être rejeté, en application de l'art. 465 al. 1 CPC, et le jugement confirmé. Les frais de deuxième instance de la recourante sont arrêtés à 600 francs. Par ces motifs, la Chambre des recours du Tribunal cantonal, statuant à huis clos, en application de l'art. 465 al. 1 CPC, prononce : I. Le recours est rejeté. II. Le jugement est confirmé. III. Les frais de deuxième instance de la recourante N.________ sont arrêtés à 600 fr. (six cents francs). IV. L'arrêt motivé est exécutoire. Le président :               La greffière : Du 1er juin 2010 Le dispositif de l'arrêt qui précède est communiqué par écrit aux intéressés. La greffière : Du L'arrêt qui précède, dont la rédaction a été approuvée à huis clos, est notifié en expédition complète, par l'envoi de photocopies, à : ‑ M. Jacques Lauber (pour N.________), ‑ M. [...] (pour H.________).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