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430 vom 13. August 2010</w:t>
      </w:r>
    </w:p>
    <w:p>
      <w:r>
        <w:t>VD Tribunal cantonal, 2010-08-13, FR</w:t>
      </w:r>
    </w:p>
    <w:p>
      <w:r>
        <w:rPr>
          <w:b/>
        </w:rPr>
        <w:t xml:space="preserve">Quelle: </w:t>
      </w:r>
      <w:r>
        <w:t>https://mcp.opencaselaw.ch/entscheid/vd_findinfo_HC___2010___430</w:t>
      </w:r>
    </w:p>
    <w:p>
      <w:r>
        <w:t>FR: VD_FINDINFO HC / 2010 / 430 du 13 août 2010</w:t>
      </w:r>
    </w:p>
    <w:p>
      <w:r>
        <w:t>IT: VD_FINDINFO HC / 2010 / 430 del 13 agosto 2010</w:t>
      </w:r>
    </w:p>
    <w:p>
      <w:pPr>
        <w:pStyle w:val="Heading2"/>
      </w:pPr>
      <w:r>
        <w:t>Regeste</w:t>
      </w:r>
    </w:p>
    <w:p>
      <w:r>
        <w:t>EXPULSION DE LOCATAIRE, BAIL À LOYER | 257d CO, 457 CPC, 23 LPEBL, 24 LPEBL, 29 LPEBL</w:t>
      </w:r>
    </w:p>
    <w:p>
      <w:pPr>
        <w:pStyle w:val="Heading2"/>
      </w:pPr>
      <w:r>
        <w:t>Erwägungen</w:t>
      </w:r>
    </w:p>
    <w:p>
      <w:r>
        <w:rPr>
          <w:b/>
        </w:rPr>
        <w:t>E. 1</w:t>
      </w:r>
    </w:p>
    <w:p>
      <w:r>
        <w:t>. 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En l'espèce, les recourants ont conclu à la nullité de l'ordonnance, mais ils ne font valoir aucun des motifs de nullité prévus à l’art. 23 al. 1 LPEBL, de sorte que leur recours en nullité est irrecevable. Le recours tend implicitement à la réforme de l'ordonnance en ce sens que l'expulsion est prononcée. Déposé en temps utile (art. 24 al. 1 LPEBL) par des parties qui y ont intérêt, il est recevable. Selon l'article 23 al. 2 LPEBL, il y a recours au Tribunal cantonal pour déni de justice; celui-ci peut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Procédures spéciales vaudoises, n. 4 ad art. 23 LPEBL, p. 212). En l'espèce, l'intimée ayant contesté le congé devant la commission de conciliation compétente par requête du 16 février 2010, le recours doit être examiné en droit par la cour de céans avec un plein pouvoir d'examen et non avec celui limité au déni de justice prévu à l'article 23 LPEBL (Guignard, op. cit., n. 1 ad art. 24 LPEBL, pp. 213-214). b)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Si le recourant entend remettre en cause l’établissement des faits, il doit établir une appréciation arbitraire des preuves. En l'espèce, l'état de fait de l'ordonnance, qui a été complété, est conforme aux pièces du dossier.</w:t>
      </w:r>
    </w:p>
    <w:p>
      <w:r>
        <w:rPr>
          <w:b/>
        </w:rPr>
        <w:t>E. 2</w:t>
      </w:r>
    </w:p>
    <w:p>
      <w:r>
        <w:t>a)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ou de locaux commerciaux (al. 1). Faute de paiement dans le délai fixé, le bailleur peut résilier les baux d'habitations et de locaux commerciaux, moyennant un délai de congé minimum de 30 jours pour la fin d'un mois (al. 2). b) En l’espèce, les recourants prétendent qu’ils n’ont pas prolongé le délai comminatoire jusqu'au 29 janvier 2010 en faveur de l’intimée mais seulement pris acte de l’engagement de celle-ci d’effectuer un paiement au plus tard à cette date. Un tel point de vue est insoutenable. En effet, la succession des correspondances entre parties montre qu’après la fixation d’un délai comminatoire venant à échéance à la mi-janvier 2010, l’intimée est intervenue auprès des recourants pour les assurer de ce qu’un paiement interviendrait avant le 29 janvier 2010. Une telle démarche du locataire menacé de résiliation ne pouvait avoir comme but que d’obtenir des bailleurs qu’ils renoncent à leur intention de résilier, cela moyennant un paiement retardé. Lorsque les bailleurs ont accueilli favorablement cette requête, ils ont du même coup admis qu’en cas de paiement à temps, une résiliation n’aurait pas lieu. Ce n’était que dans l’hypothèse où un paiement n’interviendrait pas que les procédés engagés jusqu’alors en vue d’une expulsion devaient demeurer à disposition. Il importe au demeurant peu que les recourants affirment ne pas avoir eu l'intention de prolonger le délai comminatoire jusqu'au 29 janvier 2010 par leur courrier du 23 décembre 2009. Ce courrier doit en effet être interprété selon le principe de la confiance. Autrement dit, il faut rechercher tout d'abord la volonté réelle des parties, le cas échéant empiriquement, sur la base d'indices, sans s'arrêter aux expressions ou dénominations inexactes dont elles ont pu ses servir, soit par erreur, soit pour déguiser la nature véritable de la convention.(art. 18 al. 1 CO). S'il n'est pas possible de déterminer cette volonté réelle, ou s'il est établi qu'une partie n'a pas compris la volonté réelle manifestée par l'autre, il convient de rechercher le sens que les parties pouvaient et devaient donner, selon les règles de la bonne foi, à leurs manifestations de volonté réciproques. Cette interprétation se fera non seulement d'après le texte et le contexte des déclarations, mais aussi d'après les circonstances qui les ont précédées et accompagnées. Le principe de la confiance permet ainsi d’imputer à une partie le sens objectif de sa déclaration ou de son comportement, même s’il ne correspond pas à sa volonté intime (ATF 133 III 675 c. 33; ATF 128 III 265 c. 3a p. 267; TF 4C.278/2004 du 29 décembre 2004 c. 2.2; Dessemontet, Commentaire romand, Code des obligations I, 2003, n. 9 ad art. 1 CO, p. 8). En l'espèce, les recourants mentionnent certes dans leur lettre du 23 décembre 2009 que, "dans l'immédiat et jusqu'à droit connu", tous les procédés à forme de l'art. 257d CO sont "formellement maintenus", mais ils conseillent en même temps à l'intimée de "respecter scrupuleusement [ses] engagements", soit de régler l'arriéré de loyer d'ici au "vendredi 29 janvier 2010, dernier délai". Un destinataire de bonne foi ne pouvait que comprendre de ce courrier, pris dans son entier, qui faisait suite à l'engagement de l'intimée de payer "la totalité des mensualités durant le mois de janvier 2010" (lettre du 22 décembre 2009), qu'un paiement dans le délai du 29 janvier 2009 permettait de mettre fin à toutes les procédures. C’est donc à juste titre que le premier juge a tenu la résiliation pour invalide, compte tenu du délai de paiement supplémentaire accordé à l'intimée par les bailleurs. Ce moyen est infondé et doit être rejeté.</w:t>
      </w:r>
    </w:p>
    <w:p>
      <w:r>
        <w:rPr>
          <w:b/>
        </w:rPr>
        <w:t>E. 3</w:t>
      </w:r>
    </w:p>
    <w:p>
      <w:r>
        <w:t>En conclusion, le recours doit être rejeté et l'ordonnance confirmée. Les frais de deuxième instance des recourants, solidairement entre eux, sont arrêtés à 434 francs. Par ces motifs, la Chambre des recours du Tribunal cantonal, statuant à huis clos, prononce : I. Le recours est rejeté. II. L'ordonnance est confirmée. III. Les frais de deuxième instance des recourants A.D.________ et B.D.________, solidairement entre eux, sont arrêtés à 434 fr. (quatre cent trente-quatre francs). IV. L'arrêt motivé est exécutoire. Le président :               La greffière : Du 13 août 2010 Le dispositif de l'arrêt qui précède est communiqué par écrit aux intéressés. La greffière : Du L'arrêt qui précède, dont la rédaction a été approuvée à huis clos, est notifié à : ‑ M. Philippe Chiocchetti, agent d'affaires breveté (pour A.D.________ et B.D.________), ‑ Me Laurent  Metrailler (pour S.________). La Chambre des recours considère que la valeur litigieuse est de 13'400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