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429 vom 20. Juli 2010</w:t>
      </w:r>
    </w:p>
    <w:p>
      <w:r>
        <w:t>VD Tribunal cantonal, 2010-07-20, FR</w:t>
      </w:r>
    </w:p>
    <w:p>
      <w:r>
        <w:rPr>
          <w:b/>
        </w:rPr>
        <w:t xml:space="preserve">Quelle: </w:t>
      </w:r>
      <w:r>
        <w:t>https://mcp.opencaselaw.ch/entscheid/vd_findinfo_HC___2010___429</w:t>
      </w:r>
    </w:p>
    <w:p>
      <w:r>
        <w:t>FR: VD_FINDINFO HC / 2010 / 429 du 20 juillet 2010</w:t>
      </w:r>
    </w:p>
    <w:p>
      <w:r>
        <w:t>IT: VD_FINDINFO HC / 2010 / 429 del 20 luglio 2010</w:t>
      </w:r>
    </w:p>
    <w:p>
      <w:pPr>
        <w:pStyle w:val="Heading2"/>
      </w:pPr>
      <w:r>
        <w:t>Regeste</w:t>
      </w:r>
    </w:p>
    <w:p>
      <w:r>
        <w:t>APPEL EN CAUSE, DROIT DE PASSAGE NÉCESSAIRE | 694 CC, 83 al. 1 let. b CPC, 83 CPC, 84 al. 3 CPC, 84 CPC, 85 CPC</w:t>
      </w:r>
    </w:p>
    <w:p>
      <w:pPr>
        <w:pStyle w:val="Heading2"/>
      </w:pPr>
      <w:r>
        <w:t>Erwägungen</w:t>
      </w:r>
    </w:p>
    <w:p>
      <w:r>
        <w:rPr>
          <w:b/>
        </w:rPr>
        <w:t>E. 1</w:t>
      </w:r>
    </w:p>
    <w:p>
      <w:r>
        <w:t>a) Il y a recours au Tribunal cantonal contre le jugement statuant sur la demande d'appel en cause (art. 84 al. 3 CPC). b) Les conclusions du recours reprennent celles de la première instance; elles sont recevables en la forme (art. 452 al. 1 CPC). c) Dans le recours en réforme, le pouvoir d'examen et d'instruction devant la cour de céans sur les faits contre un jugement incident du juge instructeur de la Cour civile ou d'un président de tribunal n'est plus régi par l'art. 457 CPC, mais par les art. 451 al. 1ter et 456a CPC (JT 2003 III 16; cf. aussi JT 2006 III 30, c. 4b, p.23), En l'espèce, l'état de fait du jugement incident attaqué est conforme aux pièces du dossier. La Chambre des recours peut tenir compte de toutes les pièces du dossier de première instance afin de statuer sur le recours.</w:t>
      </w:r>
    </w:p>
    <w:p>
      <w:r>
        <w:rPr>
          <w:b/>
        </w:rPr>
        <w:t>E. 2</w:t>
      </w:r>
    </w:p>
    <w:p>
      <w:r>
        <w:t>a) La requête d’appel en cause doit notamment comprendre les conclusions que l’appelant se propose de prendre contre l’appelé (art. 84 al. 1 et 85 CPC; JT 1987 III 2). Cette règle s’applique également lorsque des appelés en cause entendent à leur tour appeler au procès des tiers (art. 87 al. 2 CPC), comme en l’espèce. Cette règle connaît certes une exception lorsque, se fondant sur l’art. 83 al. 1 let. b CPC, l’appel en cause entend opposer le jugement à l’appelé (Salvadé, Dénonciation d’instance et appel en cause, thèse Lausanne 1995 pp. 139 ss et p. 191 note 769). Toutefois, le présent appel en cause se fonde sur l’art. 83 al. 1 let. c CPC, soit lorsque l'appelant fait valoir contre l'appelé des prétentions connexes à celles en cause, comme l’indique du reste le jugement incident rendu le 9 mars 1992 par le Tribunal civil du district de Lausanne (pièce 106 du bordereau du 18 août 2008, consid. 2b), dont la motivation a été reprise par la Chambre des recours dans son arrêt du 10 juin 2009 (294/I). On peut relever que, dans leur requête d’appel en cause déposée le 18 août 2008, les appelants défendeur 1 et consorts ont annoncé dans leur conclusion incidente quelle conclusion ils entendaient prendre contre les appelés (p. 12). Ces dernières ont été reproduites dans l’arrêt de la Chambre des recours admettant l’appel en cause (p. 10; art. 86 al. 3 CPC). L’indication des conclusions revêt une importance certaine puisqu’elle liera l’appelant, qui ne pourra ensuite en principe pas prendre des conclusions nouvelles ou différentes (Salvadé, op. cit., p. 191). Cela s'impose d'autant plus qu'en l'occurrence, le procès implique un grand nombre de personnes et de parcelles, ainsi que déjà trois variantes possibles pour le passage nécessaire. On ne saurait dans ces conditions rendre plus difficile la mission de l'expert chargé de déterminer le passage le moins dommageable sans définir d'abord précisément les tracés à examiner. b) Le président du tribunal est compétent pour statuer en matière de passage nécessaire (art. 409 ch. 4 CPC [RSV 270.11] et 4 ch. 33 de la loi vaudoise d'introduction du Code civil suisse, LVCC [RSV 211.01]); il statue en procédure accélérée (art. 410 al. 1 CPC). L’exigence d’annoncer les conclusions que l’appelant se propose de prendre contre l’appelé vaut en particulier pour la procédure accélérée devant le président (Salvadé, op. cit., pp. 191/192), comme en l'espèce. En l’occurrence, ni la requête d’appel en cause déposée le 30 novembre 2009 par les recourants, ni leur acte de recours du 22 avril 2010, ni du reste leur mémoire du 11 juin 2010 reprenant les conclusions de l’acte de recours, n’indiquent quelle(s) conclusion(s) les appelants entendent prendre contre les personnes dont l’appel en cause est demandé : en particulier, il n’est mentionné nulle part dans les conclusions incidentes que celles-ci auraient pour but par exemple « un accès piétonnier et pour tous véhicules », ni qu’une « pleine et complète indemnisation » est prévue pour les fonds servants, ni encore exactement quel tracé grèvera telle ou telle parcelle, alors que les recourants proposent trois variantes alternatives dans leurs seules allégations (fondées sur les pièces 6 à 8 du bordereau du 30 novembre 2009 produit à l’appui de leur requête). La requête incidente est ainsi déjà irrecevable faute de conclusions suffisantes. Le recours doit être rejeté pour ce seul motif déjà.</w:t>
      </w:r>
    </w:p>
    <w:p>
      <w:r>
        <w:rPr>
          <w:b/>
        </w:rPr>
        <w:t>E. 3</w:t>
      </w:r>
    </w:p>
    <w:p>
      <w:r>
        <w:t>a) Dans le cas de prétentions connexes (art. 83 al. 1 let. c CPC), le juge dispose d’un large pouvoir pour apprécier si celles-ci ont été rendues vraisemblables (Poudret/Haldy/Tappy, op. cit., n. 3 ad art. 83 let. c CPC, pp. 151/152). Il appartient à l’appelant d’établir cette vraisemblance (Salvadé, op. cit., p. 112). L’appelant doit rendre vraisemblables d’une part les faits qu’il allègue au moyen d’indices et, d’autre part, les droits dont il se prévaut (cf. Salvadé, op. cit., pp. 112-113). Cette exigence doit être mise en relation avec le principe de l’économie du procès, qui tend à éviter une complication excessive du procès (art. 83 al. 2 CPC). Plus le procès sera alourdi par l’appel en cause, plus on se montrera exigeant dans l’examen de la vraisemblance. Il s'agira de procéder à une pesée des intérêts et se demander si l'intérêt à l'appel en cause l'emporte sur l'inconvénient que constituent l'alourdissement et la prolongation du procès (TF 4A_431/2009 du 18 novembre 2009 reproduit in RSPC 2010 p. 122 c. 2.3). C’est ainsi qu’il faut comprendre l’arrêt du 10 juin 2009 lorsqu’il pose des exigences particulières à un nouvel appel en cause par les appelants. b) Selon le Tribunal fédéral, le propriétaire d'un bien-fonds situé dans une zone d'habitation peut prétendre pouvoir accéder à sa parcelle avec un véhicule à moteur pour autant que la topographie des lieux le permette (TF 5A_136/2009 du 19 novembre 2009 reproduit in SJ 2010 I 321 c. 4.3.3). Lorsque la nécessité d'un droit de passage est reconnue et que plusieurs fonds offrent une issue vers la voie publique, l'article 694 alinéa 2 CC établit un ordre de priorités. On tiendra d'abord compte de l'état antérieur des propriétés; par exemple, dans le cas où la parcelle n'a plus d'accès à la voie publique ensuite de la division d'un fonds, ou de l'aliénation d'une parcelle contiguë appartenant au même propriétaire, le passage sera accordé sur l'autre parcelle qui, elle, a encore un accès à la route (TF no 5C.246/2004 du 2 mars 2005 c. 2.2.1, reproduit in SJ 2005 I 481 et rés. in JT 2005 I 140, avec références; RVJ 2003, p. 275 = RNRF 2005, 351 no 47; Steinauer, Les droits réels, t. II, 3ème éd., n. 1865 et 1865a, pp. 206/207; arrêt du Tribunal d'appel du canton du Tessin du 30 décembre 1987, in Rep. 1989 p. 141). On examinera ensuite - c'est-à-dire si le critère de l'état antérieur des propriétés ne fournit aucune solution dans le cas d'espèce - l'état antérieur des voies d'accès, en ne prenant toutefois en considération que les droits de passage existant précédemment, et non de simples autorisations de passer accordées à bien plaire (TF no 5C.246/2004 du 2 mars 2005 c. 2.2.1 et TF no 5C.288/1998 du 8 mars 1999, c. 3, qui confirment ATF 43 II 288 c. 1; aussi RVJ 2003 précité). Enfin, en l'absence de points de rattachement liés à l'état antérieur des propriétés ou des voies d'accès, le droit de passage s'exercera contre celui des propriétaires voisins sur le fonds duquel le passage est le moins dommageable (TF no 5C.246/2004 du 2 mars 2005 c. 2.2.2). c) En l’espèce, à l’appui de leur requête, les recourants ont produit cinq extraits du registre foncier et trois plans comprenant trois « variantes » selon l’intitulé de leur bordereau du 30 novembre 2009. Ces plans consistent en trois photocopies identiques sur lesquelles trois tracés sont portés à la main au crayon feutre jaune. Tout d’abord, les recourants n’indiquent pas, que ce soit dans leur requête ou dans leur recours, ce qui les incite à proposer comme préférable les trois variantes qu'ils entendent substituer à l’accès depuis le sentier Bois-Rouge (cf. arrêt p. 3) ou encore à l’une des deux variantes à l’accès par le quartier de Belle-Combe (cf. arrêt pp. 3-4), sinon que les trois tracés proposés concernent d'autres parcelles que les leurs. Ils se contentent d’énumérer les parcelles voisines sur lesquelles chacune des variantes empiètera (requête du 30 novembre 2009 allégué 15), en affirmant que l’accès serait plus facile et moins dommageable (allégué 12), puis de renvoyer à une expertise (requête, partie droit, p. 5). Bien plus, ils admettent eux-mêmes que la voie d’accès « par le chemin du Bois-Rouge est la solution qui s’imposera à l’évidence » (allégué 14). Or, les variantes soumises par les recourants proposent toutes les trois un accès à la parcelle 558 par le chemin de Belle-Combe, ce qui contredit leur propre appréciation du passage le plus opportun. De plus, les recourants n'apportent pas le moindre élément permettant de rendre vraisemblable l'existence d'un « projet effectif et envisageable au sujet [de leur] projet alternatif impliquant des parcelles voisines nouvelles au procès » : or, c'est ce que les recourants auraient dû faire (arrêt p. 9). En d'autres termes, ils n’apportent aucun indice rendant vraisemblable un accès préférable, car le moins dommageable (art. 694 al. 2 CC) à l’appui des variantes justifiant leur appel en cause. Au demeurant, si l'on examine la troisième variante (pièce 8 du bordereau du 30 novembre 2009), on constate que le passage proposé divise presque en deux en diagonale la parcelle 557 de forme rectangulaire, en passant à proximité de l'immeuble sis sur le tiers supérieur de cette parcelle. Il tombe sous le sens qu'un tel chemin empièterait gravement sur la parcelle 557, dont il affecterait sans aucun doute fortement l'usage et la valeur vénale. Les recourants n'apportent pas le moindre élément pour expliquer en quoi les considérations qui précèdent, fondées sur l'expérience de la vie, ne seraient pas adéquates en raison de circonstances particulières locales. Cette variante paraît dès lors irréaliste. Quant à la variante no 2 (pièce 7 du bordereau), on observe qu'elle envisage la construction d'un chemin sur la parcelle 557 parallèle à un autre chemin déjà existant sur la parcelle 555 : les recourants n'apportent pas le moindre élément permettant d'expliquer pourquoi une voie d'accès nouvelle devrait être créée juste à côté d'une voie déjà existante et ce pour éviter le passage sur la parcelle 555. Il leur appartenait d'expliquer à tout le moins leurs raisons, ce qu'ils n'ont pas fait. Enfin, la variante no 1 (pièce 6 du bordereau) suit d'abord le chemin de Belle-Combe avant d'occuper presque entièrement les côtés Sud et Est de la parcelle 557 pour atteindre la parcelle 558. Les recourants n'apportent ici non plus pas le moindre indice rendant vraisemblable que cette variante aurait déjà fait l'objet d'études antérieures démontrant qu'elle serait moins dommageable que les deux autres variantes déjà proposées depuis le chemin de Belle-Combe (pièces 101 et surtout 105 du bordereau du 18 août 2008) ou même simplement que cette variante aurait déjà été envisagée comme passage nécessaire et entrerait en considération.</w:t>
      </w:r>
    </w:p>
    <w:p>
      <w:r>
        <w:rPr>
          <w:b/>
        </w:rPr>
        <w:t>E. 4</w:t>
      </w:r>
    </w:p>
    <w:p>
      <w:r>
        <w:t>En définitive, le recours doit être rejeté, en application de l'art. 465 al. 1 CPC, et le jugement incident confirmé. Les frais de deuxième instance des recourants, solidairement entre eux, sont arrêtés à 500 fr. (art. 232 TFJC). Par ces motifs, la Chambre des recours du Tribunal cantonal, statuant à huis clos, en application de l'art. 465 al. 1 CPC, prononce : I. Le recours est rejeté. II. Le jugement incident est confirmé. III. Les frais de deuxième instance des recourants recourant 1, recourant 2, recourant 3 et recourante 3, recourant 4 et recourante 4, recourante 5, recourant 6 et recourante 6, recourante 7, recourant 7.1, recourant 7.2 et recourante 8, solidairement entre eux, sont arrêtés à 500 fr. (cinq cents francs). IV. L'arrêt motivé est exécutoire. Le président :               Le greffier : Du 20 juillet 2010 Le dispositif de l'arrêt qui précède est communiqué par écrit aux intéressés. Le greffier : Du L'arrêt qui précède, dont la rédaction a été approuvée à huis clos, est notifié en expédition complète, par l'envoi de photocopies, à : ‑ Me Antoine Bagi (pour les appelants recourant 1, recourant 2, recourant 3, recourante 3, recourant 4, recourante 4, recourante 5, recourant 6, recourante 6, recourante 7, recourant 7.1, recourant 7.2, recourante 8), ‑ Me Daniel Pache (pour les demandeurs demandeurs 1, demandeur 2), - Me Laurent Trivelli (pour les défendeurs défendeur 1, défenderesse 2 et défendeur 15), - Me Benoît Bovay (pour défendeurs 7, défendeurs 12, défendeur 9, défenderesse 10, défendeur 3, défenderesse 4, défendeurs 14, défendeurs 5), - M. défendeur 6, - Me Nicolas Saviaux (pour défendeurs 8) - Me Claire Charton (pour défendeurs 13), - appelé 1 SA, - appelée 2, - appelée 3.1, - appelée 3.2, - appelée 4, - appelée 4.1, - Mme appelée 5, - Mme appelée 5.1, - M. et Mme appelé 5.2 et appelée 5.3, - M. appelé 6, - Mme appelée 6.1, - Mme appelée 6.2, - M. appelé 6.3, - M. appelé 7, - [...] SA (successeur dans les droits de appelée 6.3 SA), - Mme nv appelée 1, - M. nv appelé 2, - Me Pierre Mathyer (pour nv appelés 3), - Mme nv appelée 4 et M. nv appelé 4.1, - M. et Mme [...] (pour M. nv appelé 5). La Chambre des recours considère que la valeur litigieuse est d'environ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