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428 vom 3. Juni 2010</w:t>
      </w:r>
    </w:p>
    <w:p>
      <w:r>
        <w:t>VD Tribunal cantonal, 2010-06-03, FR</w:t>
      </w:r>
    </w:p>
    <w:p>
      <w:r>
        <w:rPr>
          <w:b/>
        </w:rPr>
        <w:t xml:space="preserve">Quelle: </w:t>
      </w:r>
      <w:r>
        <w:t>https://mcp.opencaselaw.ch/entscheid/vd_findinfo_HC___2010___428</w:t>
      </w:r>
    </w:p>
    <w:p>
      <w:r>
        <w:t>FR: VD_FINDINFO HC / 2010 / 428 du 3 juin 2010</w:t>
      </w:r>
    </w:p>
    <w:p>
      <w:r>
        <w:t>IT: VD_FINDINFO HC / 2010 / 428 del 3 giugno 2010</w:t>
      </w:r>
    </w:p>
    <w:p>
      <w:pPr>
        <w:pStyle w:val="Heading2"/>
      </w:pPr>
      <w:r>
        <w:t>Regeste</w:t>
      </w:r>
    </w:p>
    <w:p>
      <w:r>
        <w:t>FIXATION DE LA PEINE | 47 CP, 411 let. h CPP, 411 let. i CPP, 415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faire apparaître des insuffisances ou des lacunes dans l’état de fait retenu par le tribunal (art. 411 let. h CPP) ou encore des doutes sur l’existence des faits admis et importants pour le jugement de la cause (art. 411 let. i CPP), éventualités qui ne sont en principe plus examinées dans le cadre du recours en réforme.</w:t>
      </w:r>
    </w:p>
    <w:p>
      <w:r>
        <w:rPr>
          <w:b/>
        </w:rPr>
        <w:t>E. 2</w:t>
      </w:r>
    </w:p>
    <w:p>
      <w:r>
        <w:t>Le recourant se prévaut des moyens de nullité de l'art. 411 let. h et i CPP. a) 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19 septembre 2000, n° 504; CCASS, 14 septembre 2000, n. 494; JT 1999 III 83, c. 6b; Besse-Matile/Abravanel, op. cit., p. 103). b)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op. cit., p. 83; Besse-Matile/ Abravanel, op. cit., p. 104 et les réf. cit.). De surcroît, l'arbitraire n'existe pas du simple fait qu'une autre solution eût été possible ou serait apparue plus justifiée; il faut également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CPP). 3.1a) D'abord, le recourant reproche aux premiers juges de ne pas avoir retenu certains éléments invoqués par X.________ qui, selon lui, ne sont pas crédibles, d'une part, et d'avoir omis de prendre en compte les déclarations écrites de sa concierge et de certains de ses voisins, d'autre part. Le jugement expose à satisfaction pour quels motifs le tribunal correctionnel a ajouté foi à la version des faits de cette victime plutôt qu'aux dénégations du recourant, ce nonobstant les quelques variations dans la déposition de la jeune femme. Dans cette mesure, il suffit de renvoyer aux motifs des premiers juges. Cela étant, le tribunal correctionnel ne s'est pas fondé uniquement sur les dires de la victime. Il a aussi pris en compte des éléments matériels, comme le rapport médical qui corrobore la version de la jeune femme et, à l'inverse, infirme les dénégations du recourant qui n'avait avoué qu'avoir asséné une ou deux gifles à sa partenaire; ou encore le vêtement taché du sang de la victime qui constitue une autre pièce accablante. Au vu de ces éléments objectifs, les premiers juges pouvaient, sans arbitraire aucun, faire abstraction des moyens de preuve dont se prévaut le recourant, lesquels tiennent davantage du témoignage de moralité que de la déposition factuelle et dont on ignore au surplus dans quelles circonstances ils ont été recueillis. b) Le recourant tente ensuite de mettre en cause la version de X.________, dans la mesure où celle-ci avait déclaré que son agresseur l'avait menacée en brandissant une bouteille de whisky. Il se prévaut de ce que la police n'a trouvé aucune bouteille d'alcool, vide ou pleine, lors de la perquisition effectuée à son domicile le 15 novembre 2008. A cet égard, les faits reprochés au recourant au préjudice de cette victime avaient eu lieu au mois de mai précédent. Il est dès lors absurde, pour ne pas dire téméraire, de présenter comme un élément essentiel que le tribunal correctionnel aurait dû retenir le fait qu'il n'y avait pas eu de bouteille d'alcool dans le logement de l'accusé quelque six mois plus tard. c) Pour le reste, le recourant fait grief aux premiers juges d'avoir ajouté foi à la version des faits de K.________. Ce faisant, il se limite toutefois à opposer sa version des faits à celle de cette victime, soit à celle retenue par le tribunal correctionnel. Son argumentation est purement appellatoire et doit, partant, être écartée. d) Enfin, le recourant paraît reprocher au tribunal correctionnel le ton du jugement, notamment la tournure de certaines phrases (mémoire, p. 6). Il ne se prévaut toutefois d'aucun moyen de nullité expressément formulé. Aussi bien, on ne voit pas quel moyen il entend invoquer. En particulier, interprétée d'office, l'argumentation ne saurait procéder de l'art. 411 let. h et i CPP. Elle est donc irrecevable. Au vrai, il s'agit plutôt de simples arguments de plaidoirie. Le recours en nullité doit donc être rejeté.</w:t>
      </w:r>
    </w:p>
    <w:p>
      <w:r>
        <w:rPr>
          <w:b/>
        </w:rPr>
        <w:t>E. 4</w:t>
      </w:r>
    </w:p>
    <w:p>
      <w:r>
        <w:t>Lorsqu'elle est 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4.1</w:t>
      </w:r>
    </w:p>
    <w:p>
      <w:r>
        <w:t>Pour partie, l'argumentation du recours se fonde sur des éléments ne figurant pas dans le jugement. Or, comme relevé ci-dessus, l'état de fait ne saurait être revu. Partant, l'argumentation est dans cette mesure irrecevable et l'on ne saurait entrer en matière sur ces moyens.</w:t>
      </w:r>
    </w:p>
    <w:p>
      <w:r>
        <w:rPr>
          <w:b/>
        </w:rPr>
        <w:t>E. 4.2</w:t>
      </w:r>
    </w:p>
    <w:p>
      <w:r>
        <w:t>Les autres moyens de réforme, validement articulés, sont dirigés contre la quotité de la peine, que le recourant, sans contester la qualification des infractions retenues, tient pour arbitrairement sévère. Il ne conteste pas davantage sa réintégration et la révocation du sursis qui lui avait été accordé. 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w:t>
      </w:r>
    </w:p>
    <w:p>
      <w:r>
        <w:rPr>
          <w:b/>
        </w:rPr>
        <w:t>E. 4.3</w:t>
      </w:r>
    </w:p>
    <w:p>
      <w:r>
        <w:t>En l’espèce, le jugement retient que le recourant s'est rendu coupable de lésions corporelles simples, de dommages à la propriété, d'injure, de menaces, de contrainte sexuelle et de viol. Toutes ces infractions sont en concours. L'infraction la plus grave est celle de viol, passible d'une peine privative de liberté de un à dix ans (art. 190 al. 1 CP). Compte tenu du concours d'infractions, le recourant était passible d'une peine de 15 ans au plus (art. 49 al. 1 CP). Dès lors, la peine privative de liberté d'ensemble de quatre ans et demi, comprenant la réintégration de l'accusé pour un mois et 29 jours, n'a pas été fixée en dehors du cadre légal. Pour ce qui est de sa quotité, les premiers juges ont tenu la culpabilité du recourant pour très lourde, au vu de motifs pertinents auxquels il suffit de renvoyer. En particulier, comme ils l'ont relevé à charge, les faits sont graves et démontrent une violence, un égoïsme et un mépris d'autrui particulièrement crasses. Ces traits de caractère, qui n'affectent nullement la responsabilité pénale de l'auteur, avaient du reste été établis par les expertises psychiatriques déposées dans des précédentes procédures pénales. Les premiers juges ont également retenu le déni quasi-total dans lequel le recourant s'est enferré et ses lourds antécédents. Les éléments retenus à décharge, à savoir tout au plus sa situation personnelle, ainsi que les regrets tardifs prononcés et les reconnaissances de dettes signées en faveur de l'une des victimes, sont également pertinents. Au surplus, aucun élément déterminant au regard de l'art. 47 CP n'a été omis, respectivement ne s'est vu conférer une portée excessive ou insuffisante. Il en découle que la peine privative de liberté prononcée ne saurait être considérée comme arbitrairement sévère.</w:t>
      </w:r>
    </w:p>
    <w:p>
      <w:r>
        <w:rPr>
          <w:b/>
        </w:rPr>
        <w:t>E. 4.4</w:t>
      </w:r>
    </w:p>
    <w:p>
      <w:r>
        <w:t>Le recourant soutient enfin qu'il devrait être mis au bénéfice du sursis. Comme il le relève expressément dans ses conclusions, la peine privative de liberté aurait, pour cela, dû être compatible avec le sursis. Sa quotité exclut toutefois le sursis même partiel (cf. l'art. 43 al. 1 CP), a fortiori ordinaire (cf. l'art. 42 al. 1 CP). Cette dernière conclusion doit ainsi être rejetée pour autant même qu'il soit entré en matière à son sujet. Le recours en réforme doit donc être rejeté à l'instar du recours en nullité.</w:t>
      </w:r>
    </w:p>
    <w:p>
      <w:r>
        <w:rPr>
          <w:b/>
        </w:rPr>
        <w:t>E. 5</w:t>
      </w:r>
    </w:p>
    <w:p>
      <w:r>
        <w:t>En conclusion, le recours doit être rejeté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