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425 vom 11. Juni 2010</w:t>
      </w:r>
    </w:p>
    <w:p>
      <w:r>
        <w:t>VD Tribunal cantonal, 2010-06-11, FR</w:t>
      </w:r>
    </w:p>
    <w:p>
      <w:r>
        <w:rPr>
          <w:b/>
        </w:rPr>
        <w:t xml:space="preserve">Quelle: </w:t>
      </w:r>
      <w:r>
        <w:t>https://mcp.opencaselaw.ch/entscheid/vd_findinfo_HC___2010___425</w:t>
      </w:r>
    </w:p>
    <w:p>
      <w:r>
        <w:t>FR: VD_FINDINFO HC / 2010 / 425 du 11 juin 2010</w:t>
      </w:r>
    </w:p>
    <w:p>
      <w:r>
        <w:t>IT: VD_FINDINFO HC / 2010 / 425 del 11 giugno 2010</w:t>
      </w:r>
    </w:p>
    <w:p>
      <w:pPr>
        <w:pStyle w:val="Heading2"/>
      </w:pPr>
      <w:r>
        <w:t>Regeste</w:t>
      </w:r>
    </w:p>
    <w:p>
      <w:r>
        <w:t>APPRÉCIATION DES PREUVES, EXCÈS ET ABUS DU POUVOIR D'APPRÉCIATION, BRIGANDAGE, FIXATION DE LA PEINE | 140 ch. 4 CP, 140 CP, 47 CP, 411 let. h CPP, 411 let. i CPP, 415 CPP</w:t>
      </w:r>
    </w:p>
    <w:p>
      <w:pPr>
        <w:pStyle w:val="Heading2"/>
      </w:pPr>
      <w:r>
        <w:t>Erwägungen</w:t>
      </w:r>
    </w:p>
    <w:p>
      <w:r>
        <w:rPr>
          <w:b/>
        </w:rPr>
        <w:t>E. 1</w:t>
      </w:r>
    </w:p>
    <w:p>
      <w:r>
        <w:t>Invoquant le moyen de nullité de l'art. 411 let. h CPP, le recourant soutient que le tribunal a insuffisamment motivé les raisons qui l'ont amené à retenir les déclarations de N.________ à l'audience, selon lesquelles la lame du couteau était en contact avec la peau de son cou.</w:t>
      </w:r>
    </w:p>
    <w:p>
      <w:r>
        <w:rPr>
          <w:b/>
        </w:rPr>
        <w:t>E. 1.1</w:t>
      </w:r>
    </w:p>
    <w:p>
      <w:r>
        <w:t>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litt. a CPP; Bovay et alii, op. cit., n. 10.2 ad art. 411 CPP et les références citées).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A., 19 septembre 2000, n. 504; CCASS, V., 14 septembre 2000, n. 494; JT 1999 III 83, c. 6b; Besse-Matile/Abravanel, op. cit., p. 103).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références citées; Bersier, op. cit., p. 82; Besse-Matile/Abravanel, op. cit., p. 105).</w:t>
      </w:r>
    </w:p>
    <w:p>
      <w:r>
        <w:rPr>
          <w:b/>
        </w:rPr>
        <w:t>E. 1.2</w:t>
      </w:r>
    </w:p>
    <w:p>
      <w:r>
        <w:t>En réalité, par cette argumentation, le recourant remet en cause l'appréciation du tribunal selon laquelle les faits se sont déroulés de la manière décrite par N.________. Ce grief ne relève toutefois pas du recours en nullité de l'art. 411 let. h CPP, lequel n'est ouvert que si le jugement comporte une lacune, une insuffisance ou une contradiction sur les faits stricto sensu. Savoir si le tribunal a apprécié de manière arbitraire les preuves en présence peut en revanche fonder le moyen de l'art. 411 let. i CPP, également invoqué par P.________ et dont il sera question plus loin (cf. infra II/2.2). Contrairement à ce que soutient l'accusé, le tribunal n'a pas considéré que le danger de mort imminent résultait uniquement du fait que la lame du couteau était en contact avec le cou de N.________. L'autorité intimée, citant la jurisprudence du Tribunal fédéral à ce sujet (ATF 117 IV 427), a précisé que le fait de maintenir une lame de couteau à courte distance de la gorge de la victime met celle-ci en danger de mort, dès lors qu'une réaction réflexe ou de panique de celle-ci suffirait à entraîner une lésion corporelle (jgt., p. 15). Dans ce contexte, c'est la distance qui compte, de telle sorte que le fait de savoir si le couteau a été placé sous la gorge de la victime, à même la peau ou non, n'est pas un fait important pour l'issue de la cause. En outre, la question de savoir si, sur la base de l'état de fait, P.________ a mis en danger la vie de sa victime en plaçant un couteau sous la gorge de celle-ci est une question de droit qui relève du recours en réforme et qui ne peut dès lors être examinée dans le cadre du recours en nullité (cf. infra III/3.2). Au demeurant, les premiers juges ont longuement exposé en pages 14 et 15 du jugement querellé les raisons pour lesquelles ils privilégiaient les déclarations des victimes plutôt que celles du recourant. Le fait d'invoquer que ce n'est qu'en audience que N.________ a déclaré que la lame était en contact avec son cou est sans pertinence. Cette affirmation ne rend pas la décision du tribunal arbitraire dans la mesure où elle ne fait que préciser ce que la victime avait déjà dit en cours d'enquête, à savoir que P.________ avait placé le couteau sous sa gorge. Mal fondé, le moyen doit être rejeté.</w:t>
      </w:r>
    </w:p>
    <w:p>
      <w:r>
        <w:rPr>
          <w:b/>
        </w:rPr>
        <w:t>E. 2</w:t>
      </w:r>
    </w:p>
    <w:p>
      <w:r>
        <w:t>Le recourant fait grief à l'autorité intimée d'avoir qualifié d'arme dangereuse au sens de l'art. 140 ch. 2 CP (Code pénal suisse du 21 décembre 1937, RS 311.0) le couteau qu'il a utilisé, en se fondant exclusivement sur une estimation de la longueur et de la largeur de la lame. Dans la mesure où P.________ soutient que les dimensions de la lame du couteau, telles qu'elles sont retenues par les premiers juges, sont douteuses, la cour de céans rappelle qu'elle est liée par les faits constatés dans le jugement attaqué. Le caractère dangereux d'une arme se déduit de critères objectifs et non de l'impression qu'elle produit sur la victime (Favre/Pellet/Stoudmann, Code pénal annoté, 3 ème éd., Lausanne 2007, n. 2.1 ad art. 140 CP et les références citées). Dans un arrêt zougois, un couteau de cuisine doté d'une lame de vingt centimètres de long et quatre centimètres de large a été considéré comme une arme dangereuse, au sens des dispositions précitées (Favre/Pellet/Stoudmann, op. cit., n. 2.2 ad art. 140 et les références citées). Cette qualification a également été admise dans un cas de brigandage où les accusés s'étaient munis d'un couteau à viande qui présentait une lame de 20 à 30 cm (TF 6B_219/2009 du 18 juin 2009 c. 1.3). En revanche, le Tribunal fédéral a affirmé qu'un couteau de poche ouvert ne constituait pas une arme dangereuse (ATF 117 IV 135 c. 1c). En l'espèce, il ne fait pas de doute qu'un couteau à viande dont la lame avoisinait vingt centimètres de long et quatre centimètres de large (jgt., p. 15) est très éloigné de la définition du couteau de poche et constitue une arme dangereuse au sens de l'art. 140 ch. 2 CP, dès lors qu'il est propre à causer des lésions graves. Mal fondé, le grief doit être rejeté.</w:t>
      </w:r>
    </w:p>
    <w:p>
      <w:r>
        <w:rPr>
          <w:b/>
        </w:rPr>
        <w:t>E. 2.1</w:t>
      </w:r>
    </w:p>
    <w:p>
      <w:r>
        <w:t>Le moyen de nullité de l'art. 411 let. i CPP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références citées).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références citées).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références citées).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w:t>
      </w:r>
    </w:p>
    <w:p>
      <w:r>
        <w:rPr>
          <w:b/>
        </w:rPr>
        <w:t>E. 2.2</w:t>
      </w:r>
    </w:p>
    <w:p>
      <w:r>
        <w:t>L'autorité intimée a soigneusement examiné les déclarations de N.________ et Z.________ (jgt., p. 13-14) et exposé les raisons pour lesquelles elles lui paraissaient crédibles et emportaient sa conviction (jgt., p. 15). En particulier, elle a pris en considération leur constance, leur sincérité ainsi que leur précision avant de relever qu'elles étaient dénuées de toute animosité ou d'esprit de vengeance. Le tribunal a mentionné qu'elles étaient de surcroît corroborées par l'examen des images de la caméra de surveillance dont il ressort que " l'accusé a placé son couteau au niveau de l'épaule droite de N.________, la lame dépassant l'épaule et étant dirigée en direction de la tête " (jgt., p. 14). Si la cour de céans peut donner acte au recourant que le moment où il a posé le couteau sous la gorge de N.________ n'a pas été filmé, il n'en demeure pas moins que les images captées par la caméra ont mis en évidence le comportement adopté par P.________ au cours du brigandage ainsi que le fait que celui-ci ment lorsqu'il affirme n'avoir jamais placé la lame de son couteau à proximité immédiate du visage de sa victime. Cet élément démontre indéniablement le caractère mensonger des dénégations de l'accusé. Ajouté aux déclarations constantes, sincères et dénuées de tout esprit d'animosité et de vengeance des victimes, il a emporté la conviction de l'autorité intimée sur la manière dont les faits se sont déroulés. En définitive, il y a lieu de constater que le tribunal s'est fondé sur un faisceau d'indices probants pour retenir que P.________ avait maintenu N.________ en lui appliquant la lame de couteau au niveau du cou. Il n'apparaît nullement arbitraire, en présence de versions contradictoires, de choisir celle qui, en raison de sa cohérence, résiste à un examen détaillé et trouve appui dans les pièces du dossier ou d'autres éléments de preuve en écartant celle qui se révèle peu crédible non seulement en raison de mensonges avérés mais aussi parce qu'elle n'est corroborée par aucun autre indice ou élément de preuve. Mal fondé, le grief doit être rejeté, ainsi que le recours en nullité dans son intégralité. III. Recours en réforme 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 delà des conclusions du recourant (art. 447 al. 2 CPP).</w:t>
      </w:r>
    </w:p>
    <w:p>
      <w:r>
        <w:rPr>
          <w:b/>
        </w:rPr>
        <w:t>E. 3</w:t>
      </w:r>
    </w:p>
    <w:p>
      <w:r>
        <w:t>Invoquant une violation de l'art. 140 ch. 4CP, le recourant soutient que sa volonté de mettre en danger de mort l'une des deux victimes était totalement inexistante au moment des faits.</w:t>
      </w:r>
    </w:p>
    <w:p>
      <w:r>
        <w:rPr>
          <w:b/>
        </w:rPr>
        <w:t>E. 3.1</w:t>
      </w:r>
    </w:p>
    <w:p>
      <w:r>
        <w:t>Selon l'art. 140 CP, la gravité du brigandage est définie selon plusieurs niveaux. Cette infraction sera punie d'une peine privative de liberté d'un an au moins, si son auteur s'est muni d'une arme à feu ou d'une autre arme dangereuse (art. 140 ch. 2 CP). La peine sera de deux ans au moins si l'auteur a agi en qualité d'affilié à une bande formée pour commettre des brigandages ou des vols ou si, de toute autre manière, sa façon d'agir dénote qu'il est particulièrement dangereux (art. 140 ch. 3 CP). Enfin, le dernier stade d'aggravation est réalisé et la peine minimale sera de cinq ans, si le délinquant a mis la victime en danger de mort, lui a fait subir une lésion corporelle grave, ou l'a traitée avec cruauté (art. 140 ch. 4 CP). La circonstance aggravante de la mise en danger de mort prévue au ch. 4 de l'art. 140 CP doit être interprétée restrictivement en raison de l'importance de la peine, qui est une peine privative de liberté de cinq ans au moins et qui correspond ainsi à la peine du meurtre (art. 111 CP). Selon la jurisprudence, la mise en danger de mort de la victime suppose un danger concret, imminent et très élevé que la mort puisse survenir facilement, même sans la volonté de l'auteur (ATF 121 IV 67 c. 2b). Les circonstances de fait et le comportement concret de l'auteur sont décisifs pour déterminer si la victime a couru un risque réel de lésions mortelles (ATF 117 IV 427 c. 3b; 419 c. 2). L'usage d'une arme blanche peut, selon les circonstances, créer un danger de mort concret, imminent et très élevé. Tel est le cas si le délinquant, ayant empoigné sa victime, maintient une lame à courte distance de la gorge de celle-ci, d'une manière telle qu'une réaction réflexe de la victime suffirait facilement à provoquer une lésion mortelle (ATF 117 IV 427, ibidem). Il en va de même de celui qui resserre son étreinte autour du cou, armé d'un couteau genre " cutter ", lorsque des tiers frappent à la porte du local où il se trouve avec la victime (JT 1997 IV 29) ou de celui qui menace sa victime au moyen d'une arme pointue et acérée et la tient pendant un court instant à une distance de 10 à 20 cm de sa victime, dès lors qu'il suffit d'un mouvement inconsidéré de cette dernière ou de l'auteur pour provoquer une blessure mortelle (ATF 114 IV 8). Le fait que l'auteur maintienne la lame de son poignard non pas sur le gosier de la victime, mais sur le côté du cou ne permet pas de nier l'existence d'un danger de mort, car une blessure profonde à cet endroit peut également être fatale (Favre/Pellet/Stoudmann, op. cit., n. 4.5 ad art. 140 et la référence citée). Sur le plan subjectif, l'intention doit porter sur la mise en danger de mort, ce qui signifie que l'auteur doit avoir la conscience de placer sa victime dans une telle situation, mais le dol éventuel suffit (ATF 117 IV 427, ibidem). En définitive, le danger de mort est réalisé, et partant l'art. 140 ch. 4 CP est applicable, si l'auteur a créé volontairement une situation telle que la mort pouvait survenir indépendamment de sa volonté, par l'effet du hasard, d'un geste incontrôlé de sa part ou d'une réaction de la victime ou d'un tiers (ATF 121 IV 67, précité, c. 2/bb).</w:t>
      </w:r>
    </w:p>
    <w:p>
      <w:r>
        <w:rPr>
          <w:b/>
        </w:rPr>
        <w:t>E. 3.2</w:t>
      </w:r>
    </w:p>
    <w:p>
      <w:r>
        <w:t>Il ressort des constatations de fait du jugement, qui lient la cour de cassation dans le cadre du recours en réforme (art. 447 al. 2 CPP), que le recourant a appliqué un couteau à viande, qui présentait une lame avoisinant vingt centimètres, sous la gorge de N.________, le temps que sa collègue compose le code de désactivation de l'alarme du commerce (jgt., p. 15). Le but de P.________ était d'exercer, au travers de sa victime, une contrainte suffisante ne permettant pas à Z.________ d'agir autrement que conformément à ses instructions (jgt., p. 16). Il convient d'admettre que la proximité d'une telle arme d'un endroit vital crée un danger potentiel particulièrement important, que le moindre faux pas, la moindre manifestation de peur ou de panique, ou le moindre mouvement de défense peut concrétiser, entraînant de graves conséquences pour la victime. En outre, un mouvement incontrôlé de la part du recourant, provoqué par un effet de surprise quelconque, était propre à provoquer des blessures mortelles. Le risque était d'autant plus grand qu'en l'espèce, les faits se sont déroulés dans une station‑service qui accueille des visiteurs jour et nuit (jgt., p. 16) et que le succès du brigandage supposait que P.________ tienne en respect deux personnes effrayées dont l’une devait composer correctement le code de désactivation de l’alarme. Ces conditions, particulièrement stressantes, impliquaient encore le risque de l'intervention inopinée d'un tiers venant s'approvisionner en essence. Dans ces circonstances, le fait d'appliquer un couteau à viande avec une aussi longue lame tranchante sous la gorge de sa victime l'a mise en danger de mort de manière grave et immédiate. Le recourant se méprend ensuite sur l'élément subjectif de l'infraction. L'hypothèse retenue par les premiers juges est la mise en danger de mort (art. 140 ch. 4 CP). La question n'est pas de savoir si le recourant avait la volonté de mettre en danger de mort ses victimes – soit voulait les tuer – mais celle de savoir s'il avait conscience du danger (de mort) qu'il faisait courir à ses victimes. Dans les infractions de mise en danger, la conscience se confond avec l'intention (ATF 94 IV 60) car si l'auteur veut plus, il doit alors être puni pour le délit de lésion correspondant (meurtre ou assassinat). Il s'agit dès lors uniquement de déterminer si l'auteur avait conscience du danger de mort qu'il faisait courir à ses victimes (Favre/Pellet/Stoudmann, op. cit., n. 4.1 ad art. 140 CP et les références citées). Déterminer ce que l'auteur sait, veut ou l'éventualité à laquelle il consent relève de l'établissement des faits (ATF 132 IV 112, c. 3.1). A cet égard, le jugement mentionne que l'accusé a voulu ou a, à tout le moins, accepté le risque de mettre en danger la vie de N.________ de manière concrète, immédiate et brûlante. Cet élément ne peut dès lors pas être remis en cause dans le cadre du recours en réforme. P.________, qui s'était muni d'une arme particulièrement dangereuse qu'il a apposée sous la gorge de sa victime en l'obligeant à se déplacer dans des conditions de stress évidentes, ne peut pas prétendre qu'il était inconscient du danger de mort qu'il faisait courir à cette dernière. Z.________ dont le visage était blême et littéralement décomposé sous l'effet de la terreur, a d'ailleurs clairement ressenti que la vie de sa collègue était entre ses mains et qu'elle ne devait pas se tromper au moment de composer le code de désactivation de l'alarme (jgt., p. 14). La terreur ressentie par les victimes n'a pu échapper à P.________, normalement doué et doté d'antécédents pénaux conséquents. En définitive, c'est à juste titre que le prénommé a été reconnu coupable de brigandage qualifié au sens de l'art. 140 ch. 4 CP. Mal fondé, le moyen doit être rejeté.</w:t>
      </w:r>
    </w:p>
    <w:p>
      <w:r>
        <w:rPr>
          <w:b/>
        </w:rPr>
        <w:t>E. 4</w:t>
      </w:r>
    </w:p>
    <w:p>
      <w:r>
        <w:t>Sans développer d'argumentation à cet égard, le recourant conclut à ce qu'il soit condamné à une peine privative de liberté fixée à dire de justice.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w:t>
      </w:r>
    </w:p>
    <w:p>
      <w:r>
        <w:rPr>
          <w:b/>
        </w:rPr>
        <w:t>E. 4.2</w:t>
      </w:r>
    </w:p>
    <w:p>
      <w:r>
        <w:t>Au stade de la fixation de la peine, les magistrats de première instance ont relevé que la culpabilité de P.________ était " écrasante ". Ils ont souligné ses antécédents judiciaires, la réitération après une longue période de détention, son absence particulière de scrupules ainsi que son installation dans la délinquance. A décharge, le tribunal a retenu qu'il s'était globalement expliqué sur les faits qui lui étaient reprochés. En définitive, la peine a été fixée sur la base de critères pertinents, sans que l'on en discerne d'importants qui auraient été omis ou pris en considération à tort. Les magistrats de première instance ont donc déterminé la gravité de la faute de l'accusé sur la base d'éléments adéquats. Ils ont procédé à un examen circonstancié en exposant, en pages 18 et 19 du jugement attaqué, les critères qui les ont amenés à qualifier la culpabilité de l'intéressé d'" écrasante ". Pour l'infraction la plus grave retenue à son encontre, soit le brigandage qualifié au sens de l'art. 140 ch. 4 CP, P.________ encourt une peine privative de liberté minimale de cinq ans. A cela s'ajoutent plusieurs infractions. Une peine privative de liberté de cinq ans et demi, eu égard à l'ensemble des éléments devant être pris en considération apparaît ainsi proportionnée à la culpabilité du recourant. Elle n'est en tout cas pas excessive au point que l'autorité intimée doive se voir reprocher un abus de son pouvoir d'appréciation. IV. En définitive, aucun des moyens invoqués par P.________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