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42 vom 20. Januar 2010</w:t>
      </w:r>
    </w:p>
    <w:p>
      <w:r>
        <w:t>VD Tribunal cantonal, 2010-01-20, FR</w:t>
      </w:r>
    </w:p>
    <w:p>
      <w:r>
        <w:rPr>
          <w:b/>
        </w:rPr>
        <w:t xml:space="preserve">Quelle: </w:t>
      </w:r>
      <w:r>
        <w:t>https://mcp.opencaselaw.ch/entscheid/vd_findinfo_HC___2010___42</w:t>
      </w:r>
    </w:p>
    <w:p>
      <w:r>
        <w:t>FR: VD_FINDINFO HC / 2010 / 42 du 20 janvier 2010</w:t>
      </w:r>
    </w:p>
    <w:p>
      <w:r>
        <w:t>IT: VD_FINDINFO HC / 2010 / 42 del 20 gennaio 2010</w:t>
      </w:r>
    </w:p>
    <w:p>
      <w:pPr>
        <w:pStyle w:val="Heading2"/>
      </w:pPr>
      <w:r>
        <w:t>Regeste</w:t>
      </w:r>
    </w:p>
    <w:p>
      <w:r>
        <w:t>DÉCISION SUR FRAIS, DROIT DES SUCCESSIONS | 489 CPC, 124a al. 1 TFJC, 131 al. 1 TFJC, 132 TFJC, 21 TFJC</w:t>
      </w:r>
    </w:p>
    <w:p>
      <w:pPr>
        <w:pStyle w:val="Heading2"/>
      </w:pPr>
      <w:r>
        <w:t>Erwägungen</w:t>
      </w:r>
    </w:p>
    <w:p>
      <w:r>
        <w:rPr>
          <w:b/>
        </w:rPr>
        <w:t>E. 1</w:t>
      </w:r>
    </w:p>
    <w:p>
      <w:r>
        <w:t>Le décompte de frais attaqué est une décision prise dans le cadre de la dévolution d'une succession (art. 519 et ss CPC [Code de procédure civile du 14 décembre 1966; RSV 270.11 ]), soit en matière non contentieuse. Comme toute décision de première instance sur les frais, elle peut faire l'objet d'un recours au Tribunal cantonal (art. 21 TFJC; Tarif des frais judiciaires en matière civile du 4 décembre 1984; RSV 270.11.5). Dans la mesure où le principe même de la charge des frais - et non seulement leur quotité - est en l'espèce contesté, il s'agit du recours général des art. 489 et ss CPC, qui relève de la compétence de la Chambre des recours (art. 23 TFJC). Le recours de l'article 489 CPC est pleinement dévolutif; la Chambre des recours revoit librement la cause en fait et en droit (Poudret/Haldy/Tappy, Procédure civile vaudoise,</w:t>
      </w:r>
    </w:p>
    <w:p>
      <w:r>
        <w:rPr>
          <w:b/>
        </w:rPr>
        <w:t>E. 3</w:t>
      </w:r>
    </w:p>
    <w:p>
      <w:r>
        <w:t>Il convient en second lieu d'examiner le principe de la mise à la charge de la recourante des frais relatifs à la succession de A.R.________. A cet égard, l'art. 4 TFJC prévoit que, sauf disposition contraire, les frais sont dus par chaque partie pour les opérations qu'elle requiert ou qui sont ordonnées pour l'examen de sa cause. En l'espèce, la recourante ayant expressément accepté la succession de A.R.________ et requis la délivrance du certificat d'héritier, le paiement des frais relatifs à la procédure de dévolution successorale lui incombe. La décision attaquée doit en conséquence être confirmée sur ce point.</w:t>
      </w:r>
    </w:p>
    <w:p>
      <w:r>
        <w:rPr>
          <w:b/>
        </w:rPr>
        <w:t>E. 4</w:t>
      </w:r>
    </w:p>
    <w:p>
      <w:r>
        <w:t>En définitive, le recours doit être partiellement admis. Le présent arrêt peut être rendu sans frais (art. 236 al. 2 TFJC). Par ces motifs, la Chambre des recours du Tribunal cantonal, statuant à huis clos, prononce : I. Le recours est partiellement admis. II. La décision est réformée en ce sens que le décompte de frais no 101608 pour la succession A.R.________ est arrêté à 200 fr. (deux cents francs). III. L'arrêt est rendu sans frais. IV. L'arrêt est exécutoire. L e président : L a greffi ère : Du L'arrêt qui précède, dont la rédaction a été approuvée à huis clos, est notifié en expédition complète, par l'envoi de photocopies, à : ‑      Mme X.________, La Chambre des recours considère que la valeur litigieuse est de 370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Justice de paix du district du Jura - Nord vaudois.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