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418 vom 11. Mai 2010</w:t>
      </w:r>
    </w:p>
    <w:p>
      <w:r>
        <w:t>VD Tribunal cantonal, 2010-05-11, FR</w:t>
      </w:r>
    </w:p>
    <w:p>
      <w:r>
        <w:rPr>
          <w:b/>
        </w:rPr>
        <w:t xml:space="preserve">Quelle: </w:t>
      </w:r>
      <w:r>
        <w:t>https://mcp.opencaselaw.ch/entscheid/vd_findinfo_HC___2010___418</w:t>
      </w:r>
    </w:p>
    <w:p>
      <w:r>
        <w:t>FR: VD_FINDINFO HC / 2010 / 418 du 11 mai 2010</w:t>
      </w:r>
    </w:p>
    <w:p>
      <w:r>
        <w:t>IT: VD_FINDINFO HC / 2010 / 418 del 11 maggio 2010</w:t>
      </w:r>
    </w:p>
    <w:p>
      <w:pPr>
        <w:pStyle w:val="Heading2"/>
      </w:pPr>
      <w:r>
        <w:t>Regeste</w:t>
      </w:r>
    </w:p>
    <w:p>
      <w:r>
        <w:t>FIXATION DE LA PEINE | 47 CP, 411 let. h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si des insuffisances ou des lacunes dans l’état de fait retenu par le tribunal (art. 411 let. h CPP) venaient à être reconnues, priver d'objet le recours en réforme.</w:t>
      </w:r>
    </w:p>
    <w:p>
      <w:r>
        <w:rPr>
          <w:b/>
        </w:rPr>
        <w:t>E. 2</w:t>
      </w:r>
    </w:p>
    <w:p>
      <w:r>
        <w:t>Le recourant se prévaut du moyen de nullité de l'art. 411 let. h CPP. Le moyen tiré de l'art. 411 let. h CPP constitue un remède exceptionnel. La Cour de cassation n'est pas une juridiction d'appel. Le tribunal de première instance établit souverainement les faits selon sa conviction morale, en appréciant tous les éléments d'instruction réunis en cours d'enquête et lors des débats et en exposant de façon claire, précise et complète, les circonstances qu'il retient. Un recours en nullité ne doit pas permettre au recourant de discuter à nouveau librement les faits devant l'autorité de recours, à laquelle il appartiendrait de choisir la version la plus vraisemblable (JT 1989 III 103; Bovay et alii, op. cit., n. 8.1 ad art. 411 CPP). Chaque justiciable peut prétendre à l'établissement d'une décision motivée, même de façon brève, pour être en mesure de vérifier si la loi a été correctement appliquée. Il ne suffit pas que seul le résultat des preuves figure dans la décision et le premier juge doit mentionner, au moins dans leurs grandes lignes, les raisons qui l'ont poussé vers tel ou tel résultat. La décision doit donc indiquer les points essentiels du raisonnement tenu par le juge du fait (ATF 123 I 31, c. 2c, JT 1999 IV 22; CCASS, 10 septembre 1998, n° 379; ATF 122 IV 8, c. 2c; JT 1986 III 101). Toutefois, le premier juge ne doit pas examiner les multiples façons dont les choses auraient pu se dérouler, ni dire pourquoi il écarte telle version des faits et retient telle autre. Il n'est pas arbitraire d'écarter certaines déterminations au profit d'autres plus convaincantes et il appartient donc au recourant de démontrer le caractère arbitraire des constatations qu'il attaque. Une constatation n'est arbitraire que lorsqu'elle est évidemment fausse ou repose sur une inadvertance manifeste ou un abus du pouvoir d'appréciation, soit par exemple lorsque l'autorité s'est laissé guider par des considérations aberrantes ou a refusé de tenir compte de faits ou de preuves manifestement décisives. Un tel arbitraire doit être manifeste et reconnu d'emblée et il n'existe pas déjà lorsqu'une autre solution serait possible ou apparaîtrait plus justifiée (ATF 101 I a 298, c. 5). 3.1a) D'abord, le recourant relève qu'il "s'interroge (…) au sujet de l'accusation concernant les infractions à la législation sur les étrangers". Ce moyen doit être écarté faute d'être libellé conformément aux exigences légales, à défaut même d'être étayé (cf. l'art. 425 al. 2 let. b et c, respectivement b bis, CPP). b) Ensuite, il fait valoir que les premiers juges ont versé dans l'arbitraire en retenant qu'au moment de son arrestation, il était en pourparlers pour importer en Suisse encore un kilogrammede cocaïne, puisque la commande passée ne portait que sur 500 g de cette même drogue. Le jugement (p. 18) retient qu'à la fin du mois de juillet 2009, l'accusé avait négocié l'importation d'un kilogrammede cocaïne en provenance des Pays-Bas pour un montant de 30'000 euros. L'intéressé a admis ce fait, tout en expliquant que rien n'avait été conclu définitivement. Cette transaction n'est pas venue à chef, précisément en raison de l'arrestation du recourant. On ne voit dès lors pas, et le plaideur ne l'explique pas, ce qu'il y aurait d'arbitraire à retenir qu'au moment de son arrestation, il était en pourparlers pour importer en Suisse encore un kilogrammede cocaïne. c) Enfin, le recourant soutient qu'il y a une contradiction flagrante, en sa défaveur, entre les faits retenus à son encontre par le tribunal correctionnel et le rôle joué par ses coaccusés. Par ce moyen, le recourant se limite, en se fondant sur des extraits choisis du dossier, à opposer de manière purement appellatoire sa version des faits à celle retenue par les premiers juges. Or, comme déjà relevé, la Cour de cassation n'est pas une juridiction d'appel. Partant, son argumentation est irrecevable et le moyen doit être écarté. Le recours en nullité doit donc être rejeté.</w:t>
      </w:r>
    </w:p>
    <w:p>
      <w:r>
        <w:rPr>
          <w:b/>
        </w:rPr>
        <w:t>E. 4</w:t>
      </w:r>
    </w:p>
    <w:p>
      <w:r>
        <w:t>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4.1</w:t>
      </w:r>
    </w:p>
    <w:p>
      <w:r>
        <w:t>Le premier moyen de réforme du recours est déduit de la quantité de drogue vendue, que le plaideur tente de mettre en cause en sa faveur. Comme relevé ci-dessus, l'état de fait ne saurait être revu. Partant, ce moyen est irrecevable et doit être écarté.</w:t>
      </w:r>
    </w:p>
    <w:p>
      <w:r>
        <w:rPr>
          <w:b/>
        </w:rPr>
        <w:t>E. 4.2</w:t>
      </w:r>
    </w:p>
    <w:p>
      <w:r>
        <w:t>Les autres moyens de réforme, validement articulés, sont dirigés contre la quotité de la peine, que le recourant tient pour arbitrairement sévère.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ATF 121 IV 202, c. 2d/cc, JT 1997 IV 108; ATF 118 IV 342, c. 2c, JT 1994 IV 67; CCASS, 5 décembre 2005, n° 418). Elle perd cependant de l'importance au fur et à mesure que l'on s'éloigne de la limite à partir de laquelle le cas doit être considéré comme grave au sens de l'art. 19 ch. 2 let. a LStup (TF 6B_380/2008 du 4 août 2008).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(TF 6S.21/2002 du 17 avril 2002, c. 2c et les réf. cit.). S'agissant en particulier du trafic de cocaïne, il y a cas grave au sens de l'art. 19 ch. 2 let. a LStup à partir de 18 grammes de drogue pure (ATF 109 IV 143, JT 1984 IV 84, dont les principes n'ont pas été affectés par le changement de jurisprudence consacré par l'ATF 117 IV 314). La modification de la loi entrée en vigueur le 1 er janvier 2007 n'a pas modifié la définition du cas grave.</w:t>
      </w:r>
    </w:p>
    <w:p>
      <w:r>
        <w:rPr>
          <w:b/>
        </w:rPr>
        <w:t>E. 4.3</w:t>
      </w:r>
    </w:p>
    <w:p>
      <w:r>
        <w:t>En l’espèce, le recourant a été condamné pour diverses infractions en concours, la principale étant une infraction grave à la LStup. Selon l'art. 19 al. 1 in fine de ladite loi, rapproché de l'art. 40 CP, elle est passible d'une peine privative de liberté d'un an à 20 ans. C'est dire que, même sans tenir compte du concours, la quotité de la peine prononcée se situe dans les limites légales même si elle réprimait uniquement l'infraction à la LStup. Cela étant, la première question à trancher est celle de savoir si elle est arbitrairement sévère, indépendamment du moyen déduit d'une inégalité de traitement, qui sera examiné séparément dans toute la mesure utile.</w:t>
      </w:r>
    </w:p>
    <w:p>
      <w:r>
        <w:rPr>
          <w:b/>
        </w:rPr>
        <w:t>E. 4.4</w:t>
      </w:r>
    </w:p>
    <w:p>
      <w:r>
        <w:t>Pour fixer la quotité de la peine privative de liberté, les premiers juges ont retenu, à charge, le dessein de lucre (l'auteur n'étant pas toxicomane), la quantité de drogue achetée et vendue, l'organisation mise sur pied, le rôle décisif de l'intéressé dans un trafic aux ramifications internationales, le fait que seule son arrestation avait permis d'interrompre son activité et le concours d'infractions. A décharge ont été pris en compte les regrets exprimés par le recourant, qui avait dit avoir compris la gravité de ses actes. Tous ces éléments sont pertinents au regard de l'art. 47 CP. Aucun élément déterminant n'a été omis. Le jugement mentionne en particulier le jeune âge de l'accusé, étant précisé que toutes les infractions avaient été commises après sa majorité, tout comme il retrace son existence. Le recourant excipe, précisément, de son jeune âge. Si les faits incriminés avaient eu lieu exclusivement durant la minorité de leur auteur, le recourant aurait été passible d'une peine privative de liberté de quatre ans au plus (cf. l'art. 25 al. 2 let. a DPMin). L'écart séparant cette limite légale d'avec la peine ici prononcée n'est donc pas massif. Malgré son jeune âge, le recourant a, en quelques semaines, mis sur pied un réseau de trafic international; déployant une activité soutenue, il a importé une quantité de cocaïne excédant d'au moins 22 fois la limite du cas grave selon l'art. 19 ch. 2 let. a LStup (soit au minimum 1'147 g, d'un taux de pureté moyen de 35,6 %), dont environ 560 grammes ont été mis en circulation. Le chiffre d'affaires et le bénéfice du crime ont été significatifs. Ces éléments sont de poids. Ils relèguent au second plan le jeune âge de l'auteur. A noter au surplus que le caractère international du réseau est également un élément à charge, à l'instar de la répétition des actes prohibés (cf. c. 4.2c ci-dessus).</w:t>
      </w:r>
    </w:p>
    <w:p>
      <w:r>
        <w:rPr>
          <w:b/>
        </w:rPr>
        <w:t>E. 4.5</w:t>
      </w:r>
    </w:p>
    <w:p>
      <w:r>
        <w:t>Cela étant, le recourant fait valoir que la quotité de la peine privative de liberté est excessive par comparaison avec ses coaccusés, d'une part, et avec d'autres trafiquants précédemment condamnés, d'autre part. a)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 Basler Kommentar, Strafrecht I, 2 e éd., 2007, n. 159 ad art. 47 CP, pp. 876 s. et les réf. cit.). Les comparaisons sont souvent établies avec des peines infligées à des auteurs impliqués dans des cas prétendument semblables. De telles comparaisons n'aboutissent en général pas à une modification de la sanction (Wiprächtiger, op. cit., n. 162 ad art. 47 CP, p. 879),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référence à un ou deux précédents où des peines clémentes ont été prononcées n’est d’ailleurs pas suffisante pour prétendre à l’égalité de traitement (ATF 114 Ib 238; CCASS, NE, 6 mars 1992, RJN 1992 p. 119).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TF 6S.270/2005, du 25 septembre 2005; CCASS, 4 mars 2009, n° 87). Néanmoins, l'idée de ne pas créer un écart trop important entre deux coaccusés qui ont participé ensemble au même complexe de faits délictueux est soutenable (ATF 123 IV 150, c. 2b p. 154). Ainsi, l'exigence d'égalité s'apprécie notamment au regard de ce qui est comparable, notamment les activités et les rôles respectifs des co-accusés dans la perpétration commune d'infractions. Partant, les différences de traitement entre plusieurs accusés comparaissant devant le même tribunal à raison des mêmes faits doivent être fondées sur des motifs pertinents et les écarts apparaissant entre les peines prononcées doivent être expliqués (CCASS, 30 janvier 2001, n° 123; 23 mai 2005, n° 120). b) In casu, c'est d'abord en vain, au vu de la disparité des situations et du principe de l'individualisation de la peine selon la faute, que le recourant excipe d'autres procédures, dont on ignore tout si ce n'est les quantités de drogue écoulées par les condamnés. Pour ce qui est ensuite de la comparaison avec les peines prononcées à l'encontre de ses coaccusés, le recourant oublie que le rôle joué par chacun de ses deux comparses au sein du réseau était sensiblement moindre que le sien propre. En effet, I.________ n'a été qu'une simple "mule", tandis que le rôle d'O.________ s'est limité à celui de chauffeur et de coursier au service du recourant. Aucun des acolytes n'a, à quelque moment que ce soit, exercé un rôle de direction dans les activités du réseau. Bien plutôt, il s'agissait de simples exécutants, rémunérés uniquement en fonction de leurs prestations. Pour sa part, le recourant, qui avait mis sur pied et organisé le trafic, était le seul dirigeant de l'organisation. Cette disparité dans les rôles respectifs des trois acolytes justifiait une appréciation différente de la culpabilité de chaque coaccusé. Les premiers juges en ont tenu compte sans arbitraire en condamnant le recourant de manière sensiblement plus sévère que ses acolytes. En définitive, la peine privative de liberté prononcée, bien que sévère, n'en échappe pas moins au grief d'arbitraire. Le recours en réforme doit donc être rejeté à l'instar du recours en nullité.</w:t>
      </w:r>
    </w:p>
    <w:p>
      <w:r>
        <w:rPr>
          <w:b/>
        </w:rPr>
        <w:t>E. 5</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