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414 vom 30. Juni 2010</w:t>
      </w:r>
    </w:p>
    <w:p>
      <w:r>
        <w:t>VD Tribunal cantonal, 2010-06-30, FR</w:t>
      </w:r>
    </w:p>
    <w:p>
      <w:r>
        <w:rPr>
          <w:b/>
        </w:rPr>
        <w:t xml:space="preserve">Quelle: </w:t>
      </w:r>
      <w:r>
        <w:t>https://mcp.opencaselaw.ch/entscheid/vd_findinfo_HC___2010___414</w:t>
      </w:r>
    </w:p>
    <w:p>
      <w:r>
        <w:t>FR: VD_FINDINFO HC / 2010 / 414 du 30 juin 2010</w:t>
      </w:r>
    </w:p>
    <w:p>
      <w:r>
        <w:t>IT: VD_FINDINFO HC / 2010 / 414 del 30 giugno 2010</w:t>
      </w:r>
    </w:p>
    <w:p>
      <w:pPr>
        <w:pStyle w:val="Heading2"/>
      </w:pPr>
      <w:r>
        <w:t>Regeste</w:t>
      </w:r>
    </w:p>
    <w:p>
      <w:r>
        <w:t>PRÉSOMPTION D'INNOCENCE, FIXATION DE LA PEINE | 47 CP, 411 let. g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étant de nature à priver d'objet le recours en réforme.</w:t>
      </w:r>
    </w:p>
    <w:p>
      <w:r>
        <w:rPr>
          <w:b/>
        </w:rPr>
        <w:t>E. 2</w:t>
      </w:r>
    </w:p>
    <w:p>
      <w:r>
        <w:t>Le recourant reproche aux premiers juges d'avoir versé dans arbitraire dans l'établissement des faits et d'avoir violé la présomption d'innocence. Comme on le verra ci-dessous, ce grief-ci recouvre celui-là.</w:t>
      </w:r>
    </w:p>
    <w:p>
      <w:r>
        <w:rPr>
          <w:b/>
        </w:rPr>
        <w:t>E. 2.1</w:t>
      </w:r>
    </w:p>
    <w:p>
      <w:r>
        <w:t>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Toujours comme règle d’appréciation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op. cit., pp. 415 à 420).</w:t>
      </w:r>
    </w:p>
    <w:p>
      <w:r>
        <w:rPr>
          <w:b/>
        </w:rPr>
        <w:t>E. 2.2</w:t>
      </w:r>
    </w:p>
    <w:p>
      <w:r>
        <w:t>Le recourant reproche aux premiers juges d'avoir retenu qu'il confectionnait des boulettes de cocaïne depuis trois mois déjà lors de son arrestation, alors même qu'il était revenu sur cette déclaration devant le juge d'instruction et aux débats. Dans la mesure où le jugement mentionne ces auditions, le recourant peut les invoquer dans le cadre de ses moyens de nullité. Alors qu'il avait, peu après son interpellation, déclaré à la police fribourgeoise qu'il emballait des boulettes depuis trois mois, il a prétendu devant le juge d'instruction et aux débats qu'il ne s'était livré à cette activité que le seul jour de son arrestation. Aussi bien le fait en question figure-t-il dans l'ordonnance de renvoi. Le recourant soutient que les fonctionnaires de police avaient mal compris ses déclarations, imparfaitement traduites. Il ressort du jugement que les premiers juges ont acquis la conviction que l'accusé confectionnait des boulettes depuis une durée antérieure à son arrestation, soit durant le laps de temps mentionné par l'ordonnance de renvoi. Les auditions n'étant pas reprises dans le jugement, l'état de fait doit être complété d'office dans toute la mesure utile (cf. l'art. 433a al. 1 CPP). Entendu le lendemain de son arrestation, le recourant avait, en réponse à la question "Comment [...], à Romont savait-il que vous étiez un spécialiste de la confection des boulettes", indiqué "C'est une tierce personne de Lausanne qui le lui a dit. Cette personne n'était pas présente à Romont. C'est à Vallorbe que cette personne a dit à [...] que j'étais un spécialiste de la confection des boulettes". En réponse à une autre question, il a fourni une description détaillée de la confection des boulettes. Surtout, en réponse à la question "Depuis quand faites-vous des boulettes", il a avoué "Je confectionne mes boulettes depuis environ 3 mois. (…). J'en fait (sic) chaque semaine, certaines semaines c'est une fois, d'autres c'est deux ou trois fois. Ce sont des personnes africaines que je rencontre dans les Clubs qui me demandent de faire ça. Je le fais pour gagner un peu d'argent. En principe, ce sont des quantités similaires que je conditionne. J'ai aussi conditionné des quantité (sic) moitié moins importantes". Il découle de cette audition que le recourant ne se contente pas d'avouer qu'il confectionne des boulettes depuis quelque trois mois. Bien plutôt, il admet être un "spécialiste" de cette besogne, qu'il décrit dans le détail, tout comme il donne des précisions quant à l'intensité de son activité et au sujet des individus qui avaient recours à ses services. Plus encore, il a également indiqué dans quels établissements il trouvait ses clients et de quelle manière les boulettes étaient livrées. Compte tenu de ces éléments, c'est sans arbitraire que les premiers juges ont retenu que ce n'était pas la première fois que le recourant confectionnait des boulettes et ont admis la durée de trois mois reconnue par l'intéressé lors de sa première audition. Par identité de motifs, leur appréciation ne viole pas la présomption d'innocence. Le recours en nullité doit donc être rejeté.</w:t>
      </w:r>
    </w:p>
    <w:p>
      <w:r>
        <w:rPr>
          <w:b/>
        </w:rPr>
        <w:t>E. 3</w:t>
      </w:r>
    </w:p>
    <w:p>
      <w:r>
        <w:t>En réforme, le recourant invoque une fausse application de l'art. 47 CP. Soutenant que la sanction qui lui a été infligée est arbitrairement sévère, il reproche aux premiers juges d’avoir retenu à charge qu'il n'avait "pas hésité à violer gravement la loi de son pays d'accueil", d'abord, et qu'il avait déclaré avoir été "obligé de vendre de la drogue par la faute de la loi suisse, qui lui interdisait de travailler", ensuite, ainsi que d'avoir ignoré sa volonté de retourner dans son Etat d'origine à l'issue de l'exécution de sa peine privative de liberté, enfin.</w:t>
      </w:r>
    </w:p>
    <w:p>
      <w:r>
        <w:rPr>
          <w:b/>
        </w:rPr>
        <w:t>E. 3.1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hormis par l'apport de l'audition du recourant devant la police. 3.2a)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3.3a) En l’espèce, le recourant fait d'abord valoir que l'élément, retenu par les premiers juges, selon lequel il n'avait pas hésité à violer gravement la loi de son pays d'accueil, n'est pas prévu par l'art. 47 CP et constitue un critère discriminatoire. Le statut de requérant d'asile du recourant et le fait qu'il avait commencé son trafic peu après son arrivée en Suisse constituent des circonstances personnelles au sens de l'art. 47 CP. Dès lors, le juge peut et doit les prendre en considération. Il tombe en effet sous le sens que celui qui demande l'asile à la Suisse devrait respecter ses lois. Ne pas s'y conformer, de surcroît en percevant des prestations d'assistance, peut constituer dès lors un élément d'appréciation spécifique à charge. b) Le recourant reproche ensuite aux premiers juges d'avoir retenu à charge le fait qu'il avait critiqué l'interdiction (partielle) de travailler prévue par la législation sur l'asile, mettant celle-ci en relation avec ses activités illégales. Il soutient une fois encore que ce critère est étranger à l'art. 47 CP, ajoutant qu'on ne saurait lui interdire de critiquer les lois suisses. Il est de jurisprudence constante que l'un des critères à prendre en considération au titre de la situation personnelle de l'auteur selon l'art. 47 CP est la prise de conscience manifestée par l'intéressé, laquelle inclut les regrets qu'il a pu exprimer. De même, et à l'inverse, une absence de prise de conscience et de regrets constitue-t-elle aussi un critère d'appréciation de la culpabilité. En disant que, s'il s'était adonné au trafic de stupéfiants, c'était uniquement de la faute de la loi qui l'empêchait de travailler et en rendant les autorités et le tribunal responsables de son sort, le recourant a manifesté un manque de prise de conscience crasse que les premiers juges pouvaient retenir à charge. Il y a lieu de souligner que de nombreux requérants qui regrettent de ne pas être autorisés à travailler durant une partie de la procédure d'asile (le droit fédéral imposant une durée minimum et une durée maximum d'interdiction) ne commettent pas pour autant des infractions. Au surplus, il est constant que le recourant était logé et percevait des prestations en espèces d'un montant de 300 fr. à 400 fr. par mois, ce conformément à la loi de son pays d'accueil, ce qui assurait son minimum vital comme l'aurait fait une activité lucrative accessoire non qualifiée. c) Le recourant reproche enfin au tribunal correctionnel d'avoir ignoré sa volonté de retourner dans son Etat d'origine à l'issue de l'exécution de sa peine privative de liberté et d'avoir fait fi des démarches qu'il aurait d'ores et déjà entreprises pour ce retour. Il relève que, compte tenu de sa situation de détenu préventif, on ne saurait exiger de lui des projets plus concrets. Ce faisant, il semble cependant oublier que c'est uniquement à l'appui de la motivation du refus du sursis (partiel) que les premiers juges ont mentionné cet élément. Or, le recourant ne conteste pas le refus du sursis. En effet, il se limite expressément à conclure à une peine privative de liberté ferme, dont il ne critique que la quotité. Il n'y a donc pas lieu d'entrer en matière sur ce moyen. d) Pour le surplus, vérifiée d'office à l'aune de l'art. 47 CP, la quotité de la peine privative de liberté, bien que sévère, ne procède pas pour autant de l'arbitraire, eu égard aux circonstances personnelles à charge mentionnées dans le jugement; au surplus, elle tient compte, à décharge, de l'absence d'antécédents du recourant. Enfin, comme déjà relevé, le refus du sursis ne fait l'objet d'aucune conclusion du recours, de sorte qu'il ne saurait être statué à cet égard. Le recours en réforme doit donc également être rejeté.</w:t>
      </w:r>
    </w:p>
    <w:p>
      <w:r>
        <w:rPr>
          <w:b/>
        </w:rPr>
        <w:t>E. 4</w:t>
      </w:r>
    </w:p>
    <w:p>
      <w:r>
        <w:t>En conclusion, le recours doit être rejeté en application de l'art. 431 al. 2 CPP et le jugement confirmé. Vu l'issue du recours, les frais de deuxième instance, y compris l'indemnité allouée à son défenseur d'office, par 300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