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410 vom 21. Mai 2010</w:t>
      </w:r>
    </w:p>
    <w:p>
      <w:r>
        <w:t>VD Tribunal cantonal, 2010-05-21, FR</w:t>
      </w:r>
    </w:p>
    <w:p>
      <w:r>
        <w:rPr>
          <w:b/>
        </w:rPr>
        <w:t xml:space="preserve">Quelle: </w:t>
      </w:r>
      <w:r>
        <w:t>https://mcp.opencaselaw.ch/entscheid/vd_findinfo_HC___2010___410</w:t>
      </w:r>
    </w:p>
    <w:p>
      <w:r>
        <w:t>FR: VD_FINDINFO HC / 2010 / 410 du 21 mai 2010</w:t>
      </w:r>
    </w:p>
    <w:p>
      <w:r>
        <w:t>IT: VD_FINDINFO HC / 2010 / 410 del 21 maggio 2010</w:t>
      </w:r>
    </w:p>
    <w:p>
      <w:pPr>
        <w:pStyle w:val="Heading2"/>
      </w:pPr>
      <w:r>
        <w:t>Regeste</w:t>
      </w:r>
    </w:p>
    <w:p>
      <w:r>
        <w:t>BAIL À LOYER, AVIS DES DÉFAUTS | 269d CO, 270 CO, 452 CPC, 13 LTB</w:t>
      </w:r>
    </w:p>
    <w:p>
      <w:pPr>
        <w:pStyle w:val="Heading2"/>
      </w:pPr>
      <w:r>
        <w:t>Erwägungen</w:t>
      </w:r>
    </w:p>
    <w:p>
      <w:r>
        <w:rPr>
          <w:b/>
        </w:rPr>
        <w:t>E. 1</w:t>
      </w:r>
    </w:p>
    <w:p>
      <w:r>
        <w:t>a) Les art. 444, 445 et 451 ch. 2 CPC (Code de procédure civile vaudoise du 14 décembre 1966, RSV 270.11), applicables par renvoi de l'art. 13 LTB (loi du 13 décembre 1981 sur le Tribunal des baux, RSV 173.655), ouvrent la voie des recours en nullité et en réforme contre les jugements principaux rendus par le Tribunal des baux. En l'espèce, le recours tend principalement à la réforme et subsidiairement à la nullité du jugement entrepris. b) Saisie d'un recours en nullité, la Chambre des recours n'entre en matière que sur les moyens de nullité dûment développés, l'énonciation séparée des moyens de nullité étant une condition de recevabilité du recours en nullité (Poudret/Haldy/Tappy, Procédure civile vaudoise, 3 ème éd., 2002, n. 2 ad art. 465 CPC, p. 722). H.________ a conclu principalement à la nullité du jugement. Cependant, elle n'articule aucun moyen spécifique de nullité, de sorte que son recours en nullité est irrecevable. Interjeté en temps utile (art. 458 al. 2 CPC), par une personne qui y a intérêt, le recours, qui tend exclusivement à la réforme, est ainsi recevable (art. 461 CPC).</w:t>
      </w:r>
    </w:p>
    <w:p>
      <w:r>
        <w:rPr>
          <w:b/>
        </w:rPr>
        <w:t>E. 2</w:t>
      </w:r>
    </w:p>
    <w:p>
      <w:r>
        <w:t>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1ter CPC).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Les deux pièces produites par la recourante (copie d’un contrat de bail conclu le 31 août 2007 et quittance pour un montant de 2'250 fr.; pièces 2 et 3) figurent déjà à ce dossier. Il n'y a pas lieu de compléter l'état de fait, la cour de céans étant à même de statuer en réforme.</w:t>
      </w:r>
    </w:p>
    <w:p>
      <w:r>
        <w:rPr>
          <w:b/>
        </w:rPr>
        <w:t>E. 3</w:t>
      </w:r>
    </w:p>
    <w:p>
      <w:r>
        <w:t>a) La recourante soutient que la formule officielle des art. 269d et 270 al. 2 CO ne lui a pas été communiquée à la conclusion du bail, de sorte que celui-ci serait nul et ne pourrait pas fonder une condamnation à payer des loyers. Que cette formule ait fait défaut ne ressort cependant pas de l’état de fait dressé par les premiers juges, ni des pièces au dossier. Aucune instruction n’a eu lieu à ce sujet, la recourante, assistée d’un mandataire professionnel, ayant allégué sous chiffre 2 de sa requête déposée devant le Tribunal des baux que le bail était entré en vigueur, sans évoquer l’absence d’une formule officielle. Le premier juge n'a pas violé son devoir d'instruction dans le cadre de la maxime inquisitoriale sociale, dès lors qu'il n'avait pas de motif objectif d'éprouver des doutes sur la validité du loyer convenu (Byrde/Giroud Walther/Hack, in Procédures spéciales vaudoises, n. 6 ad art. 11 LTB, p. 120). Elle ne saurait dès lors se prévaloir de l’élément de fait que constitue un tel prétendu défaut en instance de recours. Au demeurant, les pièces du dossier n'établissent pas le vice invoqué. Ce moyen est infondé et doit être rejeté. b) La recourante prétend encore qu’un avis des défauts ne lui a été adressé que tardivement, si bien que le bailleur aurait été déchu de son droit à la réparation de défauts. Il est vrai que la recourante a libéré les locaux le 1 er juillet 2008 et que ce n’est que par courrier du 29 juillet suivant que le bailleur lui a communiqué un avis des défauts (jgt, p. 23). Avec les premiers juges, il faut toutefois tenir compte de ce qu’en restituant les clés au bailleur par envoi recommandé du 4 juillet 2008, la recourante ne s’est pas montrée disposée à participer à une séance de remise des lieux (jgt, p. 23). Compte tenu du caractère anticipé de son départ de l’appartement par rapport au contrat, il lui aurait incombé de contacter le bailleur afin qu’une restitution des locaux puisse avoir lieu d’entente entre les parties. A cela s’ajoute qu’un accord au sujet d’une rupture du contrat à fin juin 2008 n’est pas établi, seule une convention prévoyant un départ de la recourante à fin septembre 2008 paraissant avoir été envisagée (cf. jgt, p. 9). On doit ainsi admettre que la recourante a mis l’intimé devant le fait accompli de son départ. Ce n’est que par lettre du 9 juillet 2008 (pièce 103) que l’assurance de protection juridique de la recourante a tenté de formaliser un accord, mais l’intimé s’y est opposé par lettre du 29 juillet suivant à son retour de vacances (pièce 104). Dans ces conditions, la recourante est malvenue de reprocher un retard à l’intimé. Ce moyen est mal fondé et doit être rejeté. c) La recourante soutient enfin que la réduction de loyer à laquelle elle a droit ne devrait pas être de 5 % mais de 25 %. Elle se prévaut du témoignage du peintre O.________, qui, venu sur les lieux pour effectuer un devis, a constaté « de l’eau sur les murs » (jgt, p. 9). Il ressort toutefois du rapport établi par l’architecte X.________ au titre de constat d’urgence que l’appartement loué n’était pas affecté de défauts majeurs, que les problèmes d’humidité invoqués par la locataire semblaient caractéristiques de la conjonction d’un excès d’humidité avec d’éventuelles faiblesses d’isolation thermique ou des manques de ventilation, qu’en particulier une salle de bains non ventilée pouvait être un facteur d’humidité dans la chambre attenante et qu’à première vue, il n’y avait pas de pénétration d’humidité dans l’appartement provenant de l’extérieur du bâtiment. Dans ces conditions, il n’a pas été démontré que cet appartement était affecté d’un défaut qui se serait manifesté indépendamment du comportement de ses occupants. Que sa faible isolation thermique ou l’absence de moyens de ventilation dans une salle de bains aient entraîné la présence d’humidité et nécessité une aération accrue constituait un défaut d’importance réduite. En fixant à 5 % la réduction de loyer à accorder à la recourante pour ce défaut et des défauts esthétiques mineurs, les premiers juges n’ont pas abusé de leur pouvoir d’appréciation et leur point de vue peut être confirmé.</w:t>
      </w:r>
    </w:p>
    <w:p>
      <w:r>
        <w:rPr>
          <w:b/>
        </w:rPr>
        <w:t>E. 4</w:t>
      </w:r>
    </w:p>
    <w:p>
      <w:r>
        <w:t>En conclusion, le recours doit être rejeté, en application de l'art. 465 al. 1 CPC, et le jugement confirmé. Les frais de deuxième instance de la recourante sont arrêtés à 652 francs. Par ces motifs, la Chambre des recours du Tribunal cantonal, statuant à huis clos, en application de l'art. 465 al. 1 CPC, prononce : I. Le recours est rejeté. II. Le jugement est confirmé. III. Les frais de deuxième instance de la recourante H.________ sont arrêtés à 652 fr. (six cent cinquante-deux francs). IV. L'arrêt motivé est exécutoire. Le président :               La greffière : Du 21 mai 2010 Le dispositif de l'arrêt qui précède est communiqué par écrit aux intéressés. La greffière : Du L'arrêt qui précède, dont la rédaction a été approuvée à huis clos, est notifié en expédition complète, par l'envoi de photocopies, à : ‑ Mme H.________, ‑ Me Laurent Schuler (pour A.S.________). La Chambre des recours considère que la valeur litigieuse est de 35'220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