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406 vom 5. Mai 2010</w:t>
      </w:r>
    </w:p>
    <w:p>
      <w:r>
        <w:t>VD Tribunal cantonal, 2010-05-05, FR</w:t>
      </w:r>
    </w:p>
    <w:p>
      <w:r>
        <w:rPr>
          <w:b/>
        </w:rPr>
        <w:t xml:space="preserve">Quelle: </w:t>
      </w:r>
      <w:r>
        <w:t>https://mcp.opencaselaw.ch/entscheid/vd_findinfo_HC___2010___406</w:t>
      </w:r>
    </w:p>
    <w:p>
      <w:r>
        <w:t>FR: VD_FINDINFO HC / 2010 / 406 du 5 mai 2010</w:t>
      </w:r>
    </w:p>
    <w:p>
      <w:r>
        <w:t>IT: VD_FINDINFO HC / 2010 / 406 del 5 maggio 2010</w:t>
      </w:r>
    </w:p>
    <w:p>
      <w:pPr>
        <w:pStyle w:val="Heading2"/>
      </w:pPr>
      <w:r>
        <w:t>Regeste</w:t>
      </w:r>
    </w:p>
    <w:p>
      <w:r>
        <w:t>PRÉSOMPTION D'INNOCENCE, APPRÉCIATION DES PREUVES, INTERDICTION DE L'ARBITRAIRE | 411 let. h CPP, 411 let. i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nonobstant le fait que le recourant invoque ses moyens de nullité à titre subsidiaire, il convient de les examiner en premier lieu. En effet, ils peuvent faire apparaître des insuffisances ou des lacunes dans l’état de fait retenu par le tribunal (art. 411 let. h CPP) ou encore des doutes sur l’existence des faits admis et importants pour le jugement de la cause (art. 411 let. i CPP), éventualités qui ne sont en principe plus examinées dans le cadre du recours en réforme. A ceci s'ajoute, comme on le verra, que les moyens de réforme reposent sur ceux de nullité. Les pièces nouvelles produites à l'appui du recours en nullité sont irrecevables.</w:t>
      </w:r>
    </w:p>
    <w:p>
      <w:r>
        <w:rPr>
          <w:b/>
        </w:rPr>
        <w:t>E. 2</w:t>
      </w:r>
    </w:p>
    <w:p>
      <w:r>
        <w:t>Tant sous l'angle de la nullité que sous celui de la réforme, le recourant critique l'état de fait du jugement, qu'il tient pour douteux et insuffisant. En particulier, s'agissant des moyens de nullité, il se prévaut de l'art. 411 let. h et i CPP pour faire grief au premier juge d'avoir procédé à une appréciation arbitraire des preuves et d'avoir violé la présomption d'innocence. 2.1a)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b) S’agissant d’un recours en nullité fondé sur l'art. 411 let. i CPP,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 Abravanel, op. cit., p. 104 et les réf. cit.). De surcroît, l'arbitraire n'existe pas du simple fait qu'une autre solution eût été possible ou serait apparue plus justifiée; il faut également que la décision apparaisse arbitraire dans son résultat (Bovay et alii, op. cit., n. 11.1 ad art. 411 let. i CPP). c) En procédure vaudoise, le principe in dubio pro reo est considéré comme un moyen de nullité et non plus de réforme (JT 2007 III 82 s.; CCASS, 11 juillet 2006, n° 256; 4 janvier 2006, n° 75; 13 janvier 2005, n° 18; 29 décembre 2004, n° 440). Si elle concerne l’appréciation des preuves, sa violation est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6B_143/2007 du 25 juin 2007).</w:t>
      </w:r>
    </w:p>
    <w:p>
      <w:r>
        <w:rPr>
          <w:b/>
        </w:rPr>
        <w:t>E. 2.2</w:t>
      </w:r>
    </w:p>
    <w:p>
      <w:r>
        <w:t>En l'espèce, le recourant allègue avoir circulé à environ 90 km/h, soit à quelque 10 km/h au-dessus du maximum autorisé seulement. Il ne remet pas en doute les déclarations du dénonciateur. Il résulte de celles-ci que la voiture de gendarmerie a, une fois quitté le giratoire se trouvant à la sortie de Cheseaux-sur-Lausanne, en direction du stand de tir, été menée au maximum de sa puissance, jusqu'à accélérer à un peu plus de 200 km/h, sans réussir pour autant à suivre le motard, qui avait été perdu de vue à une distance d'environ 1'500 mètres. Les gendarmes n'avaient dépassé qu'un ou deux véhicules après le giratoire, puis n'avaient plus été gênés par aucun autre usager de la route. Sur la base de ces faits, le premier juge a évalué à 45 secondes le temps nécessaire pour que la voiture de gendarmerie atteingne 200 km/h. Cette évaluation n'est pas étayée plus avant, en particulier par expertise. La distance exacte séparant le giratoire de Bel-Air du Carrefour du Solitaire n'est pas davantage établie. De tels calculs détaillés n'auraient cependant en rien modifié l'issue de la cause. Au vrai, les éléments chiffrés relativement sommaires retenus par le tribunal de police s'avèrent même favorables au recourant, comme on le verra ci-dessous. En effet, seuls deux facteurs étaient susceptibles de ralentir la progression du véhicule de police par rapport à celle du motocycle : une vitesse d'accélération plus lente au détriment de la voiture, d'une part, et la nécessité pour les gendarmes de devoir, à la sortie du giratoire, dépasser un ou deux autres véhicules, d'autre part. Or, ces facteurs ne sont pas de nature à prendre un temps considérable. Ainsi, par exemple, un retard de 10 secondes peut être comblé en 200 m seulement avec une différence de vitesse de 80 km/h. Or, durant la poursuite, le motard a accru son avance sur la voiture de police de quelque 30 mètres à environ 1'500 mètres. Qui plus est, le dénonciateur a exposé que la route était libre de tout trafic hormis au plus les deux véhicules doublés après le giratoire, et le recourant ne prétend pas le contraire. Il s'ensuit que le retard pris par le véhicule de police par rapport à la motocyclette était modeste, à telle enseigne, d'ailleurs, que les gendarmes, après avoir constaté la vitesse excessive du motocycliste, ont eu le temps de relever son numéro d'immatriculation. Au vu de l'ensemble de ces circonstances, et comme le relève du reste le recourant lui-même, des calculs précis apparaissent vains en l'espèce. Bien plutôt, il convient de se fier à l'appréciation du dénonciateur pour estimer la vitesse du motard. A cet égard, la jurisprudence fédérale retient qu'il est conforme à la présomption d'innocence de retenir l'existence d'un excès de vitesse sur la base du seul témoignage de policiers embarqués dans un véhicule suiveur démuni de tous moyens de contrôle et/ou d'enregistrement, moyennant toutefois une déduction substantielle afin de tenir compte de l'imprécision liée à la méthode utilisée (TF 1P.90/2006, c. 3.2, du 13 avril 2006, cité par le tribunal de police). C'est bien ainsi qu'a procédé le premier juge, en retenant que, vu le retard pris au départ par la voiture de police par rapport au recourant, ainsi que compte tenu de l'accélération des deux véhicules et du fait que le motocycle n'était plus visible à une distance d'environ 1'500 mètres, le motard devait circuler à environ 150 km/h. Ce raisonnement n'est pas arbitraire. En outre, l'appréciation du tribunal de police tient largement compte des marges de sécurité exigées par la jurisprudence fédérale et s'avère ainsi, dans cette mesure, même favorable au recourant. Au vrai, il est invraisemblable qu'une voiture de police circulant à 200 km/h ne rattrape pas un autre véhicule (notamment un motocycle) roulant à la vitesse alléguée de 90 km/h, et même à une allure de 140 km/h, sur une distance de l'ordre de celle ici en cause. Ainsi, il n'aurait pas été insoutenable de retenir que le recourant avait circulé à une vitesse instantanée maximale de 200 km/h au moins, comme le mentionne l'ordonnance de condamnation valant ordonnance de renvoi. L'état de fait sur la base duquel a statué le premier juge n'est donc entaché d'arbitraire à aucun égard; de même, la présomption d'innocence n'a pas été violée. Il s'ensuit que le recours en nullité doit être rejeté. 3.1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comme le voudrait le recourant au bénéfice de l'art. 444 CPP. 3.2 La conclusion en réforme tendant à une réduction du montant de l'amende repose, comme déjà relevé, sur des moyens dirigés contre l'état de fait du jugement, lesquels sont également articulés sous l'angle de la nullité et ont déjà été rejetés. Tout au plus il y a-t-il lieu de relever que, vérifiée d'office à l'aune de l'art. 47 CP, la quotité de l'amende n'est nullement arbitraire, notamment au vu des antécédents de l'intéressé et de la mesure du dépassement de la vitesse autorisée. Enfin, l'amende a été fixée en fonction de la situation économique de l'auteur, conformément à l'art. 106 al. 3 CP.</w:t>
      </w:r>
    </w:p>
    <w:p>
      <w:r>
        <w:rPr>
          <w:b/>
        </w:rPr>
        <w:t>E. 4</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