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396 vom 20. Juli 2010</w:t>
      </w:r>
    </w:p>
    <w:p>
      <w:r>
        <w:t>VD Tribunal cantonal, 2010-07-20, FR</w:t>
      </w:r>
    </w:p>
    <w:p>
      <w:r>
        <w:rPr>
          <w:b/>
        </w:rPr>
        <w:t xml:space="preserve">Quelle: </w:t>
      </w:r>
      <w:r>
        <w:t>https://mcp.opencaselaw.ch/entscheid/vd_findinfo_HC___2010___396</w:t>
      </w:r>
    </w:p>
    <w:p>
      <w:r>
        <w:t>FR: VD_FINDINFO HC / 2010 / 396 du 20 juillet 2010</w:t>
      </w:r>
    </w:p>
    <w:p>
      <w:r>
        <w:t>IT: VD_FINDINFO HC / 2010 / 396 del 20 luglio 2010</w:t>
      </w:r>
    </w:p>
    <w:p>
      <w:pPr>
        <w:pStyle w:val="Heading2"/>
      </w:pPr>
      <w:r>
        <w:t>Regeste</w:t>
      </w:r>
    </w:p>
    <w:p>
      <w:r>
        <w:t>PROTECTION DE L'UNION CONJUGALE, MOYEN DE DROIT, DÉCISION D'IRRECEVABILITÉ | 362 al. 2 CPC, 369 al. 4 CPC, 371m al. 4 CPC, 371m al. 5 CPC, 444 al. 1 CPC</w:t>
      </w:r>
    </w:p>
    <w:p>
      <w:pPr>
        <w:pStyle w:val="Heading2"/>
      </w:pPr>
      <w:r>
        <w:t>Erwägungen</w:t>
      </w:r>
    </w:p>
    <w:p>
      <w:r>
        <w:rPr>
          <w:b/>
        </w:rPr>
        <w:t>E. 1</w:t>
      </w:r>
    </w:p>
    <w:p>
      <w:r>
        <w:t>Saisie d’un recours en nullité, la Chambre des recours n’examine que les griefs dûment développés (Poudret/Haldy/Tappy, Procédure civile vaudoise, 3 ème éd., Lausanne 2002, n. 2 ad art. 465 CPC, p. 722).</w:t>
      </w:r>
    </w:p>
    <w:p>
      <w:r>
        <w:rPr>
          <w:b/>
        </w:rPr>
        <w:t>E. 2</w:t>
      </w:r>
    </w:p>
    <w:p>
      <w:r>
        <w:t>En matière de mesures protectrices de l’union conjugale, l'art. 369 al. 1 CPC prévoit que les parties peuvent interjeter appel contre le prononcé du président dans les dix jours suivant sa notification, par requête écrite déposée devant le tribunal d'arrondissement. En vertu de l’alinéa 4 de cette disposition, le tribunal d'arrondissement instruit en la forme incidence et statue en dernière instance, l'art. 444 ch. 1 et 2 étant réservé. Selon la jurisprudence de la Chambre des recours, la seule voie de recours ouverte par l'art. 369 al.</w:t>
      </w:r>
    </w:p>
    <w:p>
      <w:r>
        <w:rPr>
          <w:b/>
        </w:rPr>
        <w:t>E. 4</w:t>
      </w:r>
    </w:p>
    <w:p>
      <w:r>
        <w:t>En conclusion, le recours est irrecevable. Les frais de deuxième instance du recourant sont arrêtés à 2'000 fr. (art. 233 al. 3 TFJC [tarif du 4 décembre 1984 des frais judiciaires en matière civile; RSV 270.11.5]). Obtenant gain de cause, l'intimée a droit à des dépens de deuxième instance, fixé à 1'000 francs. Par ces motifs, la Chambre des recours du Tribunal cantonal, statuant à huis clos, prononce : I. Le recours est irrecevable. II. Les frais de deuxième instance du recourant sont arrêtés à 2'000 fr. (deux mille francs). III. Le recourant A.C.________ doit verser à l'intimée B.C.________ la somme de 1'000 fr. (mille francs) à titre de dépens de deuxième instance. IV. L'arrêt motivé est exécutoire. Le président :               La greffière : Du 20 juillet 2010 Le dispositif de l'arrêt qui précède est communiqué par écrit aux intéressés. La greffière : Du L'arrêt qui précède, dont la rédaction a été approuvée à huis clos, est notifié en expédition complète, par l'envoi de photocopies, à : ‑ Me Vivian Kühnlein (pour A.C.________), ‑ Me Jean-David Pelot (pour B.C.________).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