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395 vom 26. Juli 2010</w:t>
      </w:r>
    </w:p>
    <w:p>
      <w:r>
        <w:t>VD Tribunal cantonal, 2010-07-26, FR</w:t>
      </w:r>
    </w:p>
    <w:p>
      <w:r>
        <w:rPr>
          <w:b/>
        </w:rPr>
        <w:t xml:space="preserve">Quelle: </w:t>
      </w:r>
      <w:r>
        <w:t>https://mcp.opencaselaw.ch/entscheid/vd_findinfo_HC___2010___395</w:t>
      </w:r>
    </w:p>
    <w:p>
      <w:r>
        <w:t>FR: VD_FINDINFO HC / 2010 / 395 du 26 juillet 2010</w:t>
      </w:r>
    </w:p>
    <w:p>
      <w:r>
        <w:t>IT: VD_FINDINFO HC / 2010 / 395 del 26 luglio 2010</w:t>
      </w:r>
    </w:p>
    <w:p>
      <w:pPr>
        <w:pStyle w:val="Heading2"/>
      </w:pPr>
      <w:r>
        <w:t>Regeste</w:t>
      </w:r>
    </w:p>
    <w:p>
      <w:r>
        <w:t>OBLIGATION D'ENTRETIEN, CONTRIBUTION PATRIMONIALE DU CONJOINT, PERSONNE DIVORCÉE, PENSION D'ASSISTANCE | 125 CC, 133 CC, 138 CC, 145 CC, 285 CC, 286 CC</w:t>
      </w:r>
    </w:p>
    <w:p>
      <w:pPr>
        <w:pStyle w:val="Heading2"/>
      </w:pPr>
      <w:r>
        <w:t>Erwägungen</w:t>
      </w:r>
    </w:p>
    <w:p>
      <w:r>
        <w:rPr>
          <w:b/>
        </w:rPr>
        <w:t>E. 26</w:t>
      </w:r>
    </w:p>
    <w:p>
      <w:r>
        <w:t>juillet 2010 Le dispositif de l'arrêt qui précède est communiqué par écrit aux intéressés. Le greffier : Du L'arrêt qui précède, dont la rédaction a été approuvée à huis clos, est notifié en expédition complète, par l'envoi de photocopies, à : ‑ Me Gilles Monnier (pour F.________), ‑ Me Bernard de Chedid (pour A.M.________).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