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393 vom 23. Juli 2010</w:t>
      </w:r>
    </w:p>
    <w:p>
      <w:r>
        <w:t>VD Tribunal cantonal, 2010-07-23, FR</w:t>
      </w:r>
    </w:p>
    <w:p>
      <w:r>
        <w:rPr>
          <w:b/>
        </w:rPr>
        <w:t xml:space="preserve">Quelle: </w:t>
      </w:r>
      <w:r>
        <w:t>https://mcp.opencaselaw.ch/entscheid/vd_findinfo_HC___2010___393</w:t>
      </w:r>
    </w:p>
    <w:p>
      <w:r>
        <w:t>FR: VD_FINDINFO HC / 2010 / 393 du 23 juillet 2010</w:t>
      </w:r>
    </w:p>
    <w:p>
      <w:r>
        <w:t>IT: VD_FINDINFO HC / 2010 / 393 del 23 luglio 2010</w:t>
      </w:r>
    </w:p>
    <w:p>
      <w:pPr>
        <w:pStyle w:val="Heading2"/>
      </w:pPr>
      <w:r>
        <w:t>Regeste</w:t>
      </w:r>
    </w:p>
    <w:p>
      <w:r>
        <w:t>INTERDICTION DE PÉNÉTRER DANS UNE ZONE | 74 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art. 30 LVLEtr). Il est de la compétence de la seconde Chambre des recours (art. 71 et 73 LOJV [loi d’organisation judiciaire du 12 décembre 1979; RSV 173.01] et art. 20 al. 2 let. c ROTC [règlement organique du Tribunal cantonal du 13 novembre 2007; RSV 173.31.1]. Déposé en temps utile par une personne qui y a intérêt, le recours, qui est signé et motivé est recevable à la forme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Le Juge de paix du district de Lausanne, compétent selon l’art. 13 al. 1 LVLEtr, a procédé à l’audition du recourant lors de son audience du 23 juin 2010 (art. 21 al. 1 LVLEtr). Le procès-verbal de cette audition faisant défaut dans le dossier, il n’est pas établi que le recourant a été informé de la faculté de demander la désignation d’un conseil d’office. Une telle communication n’est cependant prescrite par l’art. 24 al. 2 LVLEtr qu’en cas de détention. Le juge de paix a notifié l'ordonnance attaquée le même jour, par écrit, en mentionnant l'autorité, les formes et le délai de recours (art. 21 al. 4 LVLEtr). La procédure suivie est régulière.</w:t>
      </w:r>
    </w:p>
    <w:p>
      <w:r>
        <w:rPr>
          <w:b/>
        </w:rPr>
        <w:t>E. 4</w:t>
      </w:r>
    </w:p>
    <w:p>
      <w:r>
        <w:t>Selon l'article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demande d’asile du 15 janvier 2010 qui a été rejetée et ce sont les autorités neuchâteloises de son lieu de résidence qui sont chargées de l’exécution d’une décision de renvoi. Il a été interpellé à Lausanne alors qu’il détenait une somme de 150 euros, cela après avoir été identifié à trois reprises « dans des endroits fréquentés par des personnes ayant un rapport avec le milieu de la toxicomanie » (Rapport de la police lausannoise du 22 juin 2010). Les conditions d’application de l’art. 74 al. 1 let. a LEtr sont donc réalisées. Une mesure d’interdiction de pénétrer dans le territoire du canton de Vaud est proportionnée : le recourant, qui se borne à indiquer qu’il souhaite « rendre visite à certains proches », sans autres précisions, ne fait valoir aucun intérêt important à se rendre dans ce canton plutôt qu’à demeurer dans celui de Neuchâtel jusqu’à son expulsion, tandis qu’il y a un intérêt public certain à contrôler le trafic de stupéfiants à Lausanne et à éviter que le recourant se livre à un tel trafic.</w:t>
      </w:r>
    </w:p>
    <w:p>
      <w:r>
        <w:rPr>
          <w:b/>
        </w:rPr>
        <w:t>E. 5</w:t>
      </w:r>
    </w:p>
    <w:p>
      <w:r>
        <w:t>En conclusion,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 Du 23 juillet 2010 Le dispositif de l'arrêt qui précède est communiqué par écrit aux intéressés. La greffière : Du L'arrêt qui précède, dont la rédaction a été approuvée à huis clos, est notifié en expédition complète, par l'envoi de photocopies, à : ‑ M. A.________, ‑ Service de la population, Division asile.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