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388 vom 22. April 2010</w:t>
      </w:r>
    </w:p>
    <w:p>
      <w:r>
        <w:t>VD Tribunal cantonal, 2010-04-22, FR</w:t>
      </w:r>
    </w:p>
    <w:p>
      <w:r>
        <w:rPr>
          <w:b/>
        </w:rPr>
        <w:t xml:space="preserve">Quelle: </w:t>
      </w:r>
      <w:r>
        <w:t>https://mcp.opencaselaw.ch/entscheid/vd_findinfo_HC___2010___388</w:t>
      </w:r>
    </w:p>
    <w:p>
      <w:r>
        <w:t>FR: VD_FINDINFO HC / 2010 / 388 du 22 avril 2010</w:t>
      </w:r>
    </w:p>
    <w:p>
      <w:r>
        <w:t>IT: VD_FINDINFO HC / 2010 / 388 del 22 aprile 2010</w:t>
      </w:r>
    </w:p>
    <w:p>
      <w:pPr>
        <w:pStyle w:val="Heading2"/>
      </w:pPr>
      <w:r>
        <w:t>Regeste</w:t>
      </w:r>
    </w:p>
    <w:p>
      <w:r>
        <w:t>BLANCHIMENT D'ARGENT, FAUTE, FIXATION DE LA PEINE | 305bis ch. 1 CP, 47 CP, 411 let. g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Excipant de l'art. 411 let. g et i CPP, le recourant se prévaut d'une violation de la présomption d'innocence.</w:t>
      </w:r>
    </w:p>
    <w:p>
      <w:r>
        <w:rPr>
          <w:b/>
        </w:rPr>
        <w:t>E. 2.1</w:t>
      </w:r>
    </w:p>
    <w:p>
      <w:r>
        <w:t>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Toujours comme règle d’appréciation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op. cit., pp. 415 à 420).</w:t>
      </w:r>
    </w:p>
    <w:p>
      <w:r>
        <w:rPr>
          <w:b/>
        </w:rPr>
        <w:t>E. 2.2</w:t>
      </w:r>
    </w:p>
    <w:p>
      <w:r>
        <w:t>En l'espèce, dans la mesure où le recours en nullité ne peut concerner que l’établissement des faits, le point de savoir si l'état de fait permettait, en droit, de retenir une complicité d’escroquerie relève d’un recours en réforme. Ce moyen de nullité est donc irrecevable. L’argumentation du recourant est en outre essentiellement appellatoire, dans la mesure où elle fait fi de ce que la cour de cassation, qui n’est pas une autorité d’appel, ne peut revoir librement les faits retenus par le tribunal de première instance. Au vrai, la substance de l’argumentation du recourant paraît déduite de l’insuffisance de la motivation de la conviction du tribunal (cf. JT 2009 III 113). Mais ce moyen, qui relève de l’art. 411 let. j CPP, n’est pas explicitement soulevé. Or, la cour de cassation ne peut entrer en matière que sur les moyens soulevés (art. 439 al. 1 CPP). En outre, même brève, la motivation étayant pourquoi le tribunal avait tenu le recourant pour coupable de complicité d’escroquerie est tout à fait suffisante pour être compréhensible à l'intéressé et pour permettre à celui-ci de l’attaquer en toute connaissance de cause conformément aux exigences légales, ce qu'il a d'ailleurs fait. Pour le reste, il doit être entré en matière sur les moyens du recours validement articulés. Le recourant fait grief aux premiers juges de ne pas avoir motivé leur conviction pour ce qui est de son implication dans les escroqueries. En se fondant pour partie sur les aveux du recourant et pour partie sur les éléments énoncés en pp. 9 in fine et 10 in initio du jugement, auxquels soit renvoi, le tribunal n’a toutefois pas inversé le fardeau de la preuve de la culpabilité. Partant, le moyen tiré d’une violation des règles essentielles de la procédure au sens de l'art. 411 let g CPP ne peut qu’être rejeté. Le recourant reproche également au tribunal correctionnel d'avoir arbitrairement déduit des faits qu'il collaborait avec D.________ pour perpétrer des escroqueries, alors que son rôle se serait limité à se rendre auprès des personnes désignées par le premier nommé pour y quérir des enveloppes, notamment. A cet égard, on ne voit pas non plus en quoi l’appréciation des preuves par les premiers juges serait arbitraire. En particulier, elle est confortée par un élément matériel irréductible, qui est la signature de reçus, par le recourant, sous le couvert d'alias, à l'égard de l'une au moins des dupes. Cet élément permet, sans arbitraire, de tenir pour établie la participation du recourant dans les escroqueries. Pour le reste, le recourant se limite à tenter de faire prévaloir sa propre version des faits, ce qu'il ne peut faire. En particulier, il se fonde sur les procès-verbaux d’audition de l’enquête, ce qui n’est pas admissible dans le cadre d’un recours en nullité. Il ne démontre aucune violation d'une norme de procédure, ses moyens devraient-ils même être interprétés d'office. On ne saurait en particulier affirmer que le tribunal n’a fondé sa déclaration de culpabilité que sur de simples suppositions. Le recours en nullité doit donc être rejeté.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4</w:t>
      </w:r>
    </w:p>
    <w:p>
      <w:r>
        <w:t>Le recourant se limite à conclure à une réduction de peine. Il ne conteste pas la qualification des infractions. 4.1a)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4.2</w:t>
      </w:r>
    </w:p>
    <w:p>
      <w:r>
        <w:t>Critiquant la quotité de la peine pécuniaire, qu'il tient pour arbitrairement sévère, le recourant conteste sa volonté délictueuse. Celle-ci a été retenue, à charge, dans toute la mesure requise. Les premiers juges ont en effet exposé le rôle du recourant dans le stratagème mis en œuvre par son comparse, en ne retenant la complicité qu'avec une évidente réserve, pour le motif que le comportement incriminé "confinait presque à la co-action". Du reste, en tentant de se présenter en dupe de son comparse, le recourant rediscute à nouveau les faits de la cause. Pour le reste, les premiers juges ont retenu, à charge, que le recourant avait agi, au préjudice de personnes âgées, à de réitérées reprises et durant de nombreux mois; au mépris de l'évidence, il avait contesté les faits et avait prétendu avoir agi sans connaissance de cause pour rendre naïvement service. A décharge, ont été prises en compte la modicité de son enrichissement, sa situation personnelle et son absence d'antécédents. Ce faisant, les premiers juges ont tenu compte de tous les éléments énoncés par l’art. 47 CP. Ceux pris en compte sont complets et pertinents. La peine prononcée se situe dans le cadre légal. Elle échappe au grief d'arbitraire, surtout si l'on prend en considération l'influence des agissements du recourant sur la situation des victimes qui, fragiles et influençables, ont été spoliées de sommes importantes au soir de leur vie.</w:t>
      </w:r>
    </w:p>
    <w:p>
      <w:r>
        <w:rPr>
          <w:b/>
        </w:rPr>
        <w:t>E. 5</w:t>
      </w:r>
    </w:p>
    <w:p>
      <w:r>
        <w:t>Enfin, le recourant conteste l’allocation à la plaignante de ses conclusions civiles.</w:t>
      </w:r>
    </w:p>
    <w:p>
      <w:r>
        <w:rPr>
          <w:b/>
        </w:rPr>
        <w:t>E. 5.1</w:t>
      </w:r>
    </w:p>
    <w:p>
      <w:r>
        <w:t>Il reproche d’abord aux premiers juges d’avoir tenu compte de l’augmentation de conclusions formulées par la plaignante lorsqu'elle était entendue en qualité de témoin. Il ne saurait être tenu compte de cet argument. D’abord parce qu’aucun moyen de nullité n’est soulevé. Ensuite parce que le recourant, assisté, n’a pas contesté la verbalisation de cette augmentation de conclusions. Enfin, parce que la partie civile avait pris des conclusions par écrit avant l’audience pour 96'000 fr. (pièce 79) et que, certes dispensée, elle aurait parfaitement pu augmenter ses conclusions par écrit jusqu’à et y compris l’audience du tribunal correctionnel. En effet, la loi n’impartit aucun délai pour une telle augmentation. Partant, on ne voit pas ce qu’il y aurait de critiquable à cette verbalisation. D’ailleurs, le reproche serait-il même admis qu’il ne pourrait concerner que la différence entre les 96'000 fr. constituant l'objet des conclusions déjà prises et les 111'500 fr. des conclusions augmentées, et non l’allocation des conclusions initiales elles-mêmes.</w:t>
      </w:r>
    </w:p>
    <w:p>
      <w:r>
        <w:rPr>
          <w:b/>
        </w:rPr>
        <w:t>E. 5.2</w:t>
      </w:r>
    </w:p>
    <w:p>
      <w:r>
        <w:t>Pour le reste, il résulte des faits de la cause – qui lient la cour de céans - que la supercherie à laquelle le recourant a prêté son concours a permis aux deux comparses de soustraire un montant total de 111'500 fr. à la partie civile, sur lequel 96'000 fr. ont été confiés par la dupe en mains propres au recourant lui-même (jugement, p. 8). Les conditions du dommage, de l'acte illicite, de la faute (cf. not. ATF 100 II 332, JT 1975 I 280) et du lien de causalité entre le comportement incriminé et le dommage sont donc réunies (cf. not. ATF 123 III 306, spéc. c. 4a p. 312 et 5b p. 314, JT 1998 I 27). La responsabilité civile du recourant est, partant, engagée envers la victime selon l'art. 41 CO nonobstant qu'il n'ait été que complice de l'acte illicite (art. 50 al. 1 CO). Qui plus est, elle l'est pour l'entier du préjudice subi. Peu importe, en particulier, qu'une part du butin de l'escroquerie de 15'500 fr. n’eût pas été remise en mains propres au recourant, dès lors que ce dernier avait été associé à l' ensemble de l'escroquerie dans sa mise en œuvre commune par les comparses. Pour le reste, peu importe que le recourant n’ait pas ou que peu profité financièrement de sa participation aux infractions; s’il a pu en être tenu compte dans la fixation de la peine, ce facteur ne saurait affecter ni le principe ni la quotité des prétentions civiles. D’ailleurs, si le montant des commissions perçues par le recourant n’a pas été déterminé, le versement d'une commission est avéré dans son principe. Le recours de V.________ doit donc être rejeté intégralement. II. Recours de Z.________ 1. Le recours est en réforme uniquement. La recourante conteste d'abord s'être rendue coupable de blanchiment d'argent, concluant à libération de ce chef d'accusation. a) Selon l'art. 305bis al.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b) Les éléments constitutifs objectifs de l’infraction de blanchiment d’argent sont au nombre de deux, soit une valeur patrimoniale provenant d’un crime, d’une part, et un acte d’entrave à l’établissement du lien entre la valeur patrimoniale et le crime, d’autre part. Concernant cette dernière condition, l’art. 305bis CP n’apporte aucune restriction quant à l’auteur de l’infraction, de sorte que le blanchiment d’argent peut être commis par n’importe qui. En particulier, l’auteur du crime peut être son propre blanchisseur (cf. Corboz, Les infractions en droit suisse, Vol. II, Berne 2002, n. 18 s. ad art. 305bis CP et les réf. cit.). On relèvera en outre que l’art. 305bis CP ne décrit pas le comportement de l’auteur, mais les effets que celui-ci en attend (Corboz, op. cit., n. 20 ad art. 305bis CP). Le blanchiment d’argent peut donc être réalisé par n’importe quel acte qui est propre à entraîner l’un des effets prévus par la loi. Cette aptitude doit cependant être concrète et établie dans le cas d’espèce. Il suffit que l’acte soit propre à entraver; il n’est pas nécessaire qu’il cause effectivement une entrave. Il s’agit donc d’une infraction de mise en danger abstraite de l’identification de l’origine, de la découverte ou de la confiscation des valeurs patrimoniales en cause (cf. ATF 124 IV 274, c. 2, JT 1999 IV 81, avec note de Dénéréaz, pp. 86 ss, spéc. p. 87 in initio), et non pas de résultat (Corboz, op. cit., n. 21 s. ad art. 305bis CP et les réf. cit.). Ainsi, ce qui est déterminant, ex lege , c'est que la découverte et la confiscation de l'argent d'origine illicite ait été susceptible d'être entravée, a fortiori empêchée par l'opération financière en question. En particulier, l'envoi à l'étranger de deniers d'origine criminelle constitue un acte d'entrave au sens de l'art. 305bis CP (cf. notamment ATF 127 IV 20). Au plan subjectif, l'intention du blanchisseur doit porter non seulement sur la provenance criminelle des valeurs patrimoniales, mais aussi sur le fait que l'acte commis est de nature à entraver l'identification de l'origine, la découverte ou la confiscation de celles-ci. Le dol éventuel suffit (TF 6B_1047/2008 du 20 mars 2009, c. 5.1, avec référence à ATF 122 IV 211, c. 2e p. 217 et à ATF 119 IV 242, c. 2, p. 247). c) En l'espèce, il est constant que la recourante avait transporté en France, après l'avoir convertie en euros, une somme de 14'000 fr. Il est également établi que ces deniers étaient d'origine criminelle, attendu que l'escroquerie, passible d'une peine privative de liberté maximale de cinq ans (art. 146 al. 1 CP), est un crime. L'intéressée a ainsi contribué à mettre à l'abri de l'argent de provenance criminelle. En outre, elle connaissait ou devait connaître l'origine illicite de ces espèces; elle a du reste elle-même reconnu s'être méfiée à cet égard. Les éléments constitutifs de l'infraction réprimée par l'art. 305bis CP sont ainsi réunis. 2. La recourante conteste enfin la quotité de la peine. Elle se prévaut en particulier de l'art. 52 CP, concluant à une exemption de peine. Quant aux principes applicables sous l'angle de l'art. 47 CP, il y a lieu de renvoyer au considérant I.4.1 ci-dessus. La recourante excipe en particulier de la circonstance qu'elle n'a agi qu'à une reprise, de ce que son gain a été modique et du fait que son casier judiciaire suisse est vierge. Cela étant, la somme acheminée à l'étranger est importante. Ces éléments sont mentionnés par le jugement, le tribunal ajoutant que la recourante avait été en partie victime des circonstances. Ce faisant, les premiers juges ont tenu compte de tous les éléments énoncés par l’art. 47 CP. Ceux pris en compte sont complets et pertinents. Il s'y ajoute, à charge, que la recourante avait déjà été condamnée en France. La peine prononcée se situe dans le cadre légal. Elle échappe au grief d'arbitraire. La gravité des faits exclut au surplus l'application de l'art. 52 CP. Le recours de Z.________ doit ainsi être rejeté. III. En conclusion, les recours doivent être rejetés en application de l'art. 431 al. 2 CPP et le jugement confirmé. Vu l'issue des recours, les frais de deuxième instance sont mis par moitié à la charge de chacun des recourants (art. 450 al. 1 CPP), y compris l'indemnité allouée au défenseur d'office de chacun des recourants, par 500 fr. et par 400 fr. s'agissant respectivement de V.________ et de Z.________. Le remboursement à l'Etat des indemnités dues aux défenseurs d'office sera exigible pour autant que les situations économiques respectives du recourant et de la recourante se soient améliorées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