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382 vom 28. Juli 2010</w:t>
      </w:r>
    </w:p>
    <w:p>
      <w:r>
        <w:t>VD Tribunal cantonal, 2010-07-28, FR</w:t>
      </w:r>
    </w:p>
    <w:p>
      <w:r>
        <w:rPr>
          <w:b/>
        </w:rPr>
        <w:t xml:space="preserve">Quelle: </w:t>
      </w:r>
      <w:r>
        <w:t>https://mcp.opencaselaw.ch/entscheid/vd_findinfo_HC___2010___382</w:t>
      </w:r>
    </w:p>
    <w:p>
      <w:r>
        <w:t>FR: VD_FINDINFO HC / 2010 / 382 du 28 juillet 2010</w:t>
      </w:r>
    </w:p>
    <w:p>
      <w:r>
        <w:t>IT: VD_FINDINFO HC / 2010 / 382 del 28 luglio 2010</w:t>
      </w:r>
    </w:p>
    <w:p>
      <w:pPr>
        <w:pStyle w:val="Heading2"/>
      </w:pPr>
      <w:r>
        <w:t>Regeste</w:t>
      </w:r>
    </w:p>
    <w:p>
      <w:r>
        <w:t>TRANSACTION JUDICIAIRE | 158 CPC</w:t>
      </w:r>
    </w:p>
    <w:p>
      <w:pPr>
        <w:pStyle w:val="Heading2"/>
      </w:pPr>
      <w:r>
        <w:t>Volltext</w:t>
      </w:r>
    </w:p>
    <w:p>
      <w:r>
        <w:t>Vaud Tribunal cantonal Chambre des recours civile 28.07.2010 HC / 2010 / 382</w:t>
      </w:r>
    </w:p>
    <w:p>
      <w:r>
        <w:t>TRANSACTION JUDICIAIRE | 158 CPC</w:t>
      </w:r>
    </w:p>
    <w:p>
      <w:r>
        <w:t>TRIBUNAL CANTONAL 391/I CHAMBRE DES RECOURS ________________________________ Arrêt du 28 juillet 2010 __________________ Présidence de               M. Colombini , président Juges :              MM. Giroud et Denys Greffière :              Mme Turki ***** Art. 158 CPC En fait : Vu le jugement rendu le 17 juin 2009 par le Tribunal des baux dans la cause divisant la recourante C.________ SA , à Genève, d’avec les intimés A.H.________ et B.H.________ , à Vevey, vu le recours interjeté contre ce jugement C.________ SA, qui conclut principalement à son annulation et, subsidiairement à sa réforme, vu la convention conclue les 9 et 15 juillet 2010 par les parties, et transmise à la cour de céans le 16 juillet 2010, vu les autres pièces du dossier; attendu que, selon l'art. 158 al. 1 CPC (Code de procédure civile du 14 décembre 1966; RSV 270.11), si les parties mettent fin au litige par une transaction, elles remettent celle-ci au juge, qui l'annexe au procès-verbal pour valoir jugement et raye la cause du rôle, que le 16 juillet 2010, les conseils des parties ont remis à la Chambre des recours une transaction signée par elles, destinée à mettre fin au litige qui les divise, qu'il y a lieu de prendre acte de cette transaction pour valoir jugement et de rayer la cause du rôle; attendu que les frais de deuxième instance de la recourante sont arrêtés à 99 francs (art. 222 et 232 du tarif du 4 décembre 1984 des frais judiciaires en matière civile, RSV 270.11.5), qu'il n'y a pas lieu à l'allocation de dépens de deuxième instance, les parties y ayant renoncé au chiffre V de la transaction; attendu que la transaction judiciaire vaut jugement exécutoire (art. 502 al. 2 CPC). Par ces motifs, la Chambre des recours du Tribunal cantonal, statuant à huis clos : I. Prend acte pour valoir jugement de la transaction passée les 9 et 15 juillet 2010 entre C.________ SA, d'une part, et A.H.________ et B.H.________, d'autre part, dans le cadre du litige qui les divise devant le Tribunal des baux et loyers du canton de Vaud et la Chambre des recours du Tribunal cantonal, et dont la teneur est la suivante : "I.              Les locataires procéderont à leurs frais à l'arrachage de la moquette objet du jugement susmentionné et renoncent à son remplacement par la bailleresse. II. La bailleresse fera procéder à ses frais au rafraîchissement de la peinture du salon (nettoyage, deux couches) d'ici fin août 2010 au plus tard. III. C.________ SA s'engage à verser à B.H.________et A.H.________ un montant de fr. 15'000.- (quinze mille francs) payable de la manière suivante : - fr. 5'000.- (cinq mille francs) dans les 10 jours dès signature de la présente convention, - fr. 10'000.- (dix mille francs) au départ effectif des locataires. En cas de départ postérieur au 30 juin 2011, l'indemnité de départ de fr. 10'000.- (dix mille francs) sera réduite de fr. 500.- (cinq cent francs) pour chaque mois supplémentaire. IV. L'intégralité des loyers consignés sur le compte de consignation n° U5174.80.27 ouvert au nom de B.H.________ et A.H.________ auprès de la Banque Cantonale Vaudoise est entièrement et immédiatement libérée en faveur de C.________ SA Genève. V. Chaque partie garde ses frais et renonce à l'allocation de dépens. VI. La présente convention est soumise à la Chambre des recours du Tribunal cantonal pour ratification." II. Raye la cause du rôle de la Chambre des recours. III. Arrête les frais de deuxième instance de la recourante à 99 fr. (nonante-neuf francs). IV. Déclare le présent arrêt, rendu sans dépens, exécutoire. Le président :               La greffière : Du L'arrêt qui précède, dont la rédaction a été approuvée à huis clos, est notifié à : ‑ Me Nicole Wiebach (pour A.H.________et B.H.________), ‑ Régie Zimmerman SA (pour C.________ SA). Il prend date de ce jour. La Chambre des recours considère que la valeur litigieuse est de 9'697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et loyers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