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381 vom 10. Mai 2010</w:t>
      </w:r>
    </w:p>
    <w:p>
      <w:r>
        <w:t>VD Tribunal cantonal, 2010-05-10, FR</w:t>
      </w:r>
    </w:p>
    <w:p>
      <w:r>
        <w:rPr>
          <w:b/>
        </w:rPr>
        <w:t xml:space="preserve">Quelle: </w:t>
      </w:r>
      <w:r>
        <w:t>https://mcp.opencaselaw.ch/entscheid/vd_findinfo_HC___2010___381</w:t>
      </w:r>
    </w:p>
    <w:p>
      <w:r>
        <w:t>FR: VD_FINDINFO HC / 2010 / 381 du 10 mai 2010</w:t>
      </w:r>
    </w:p>
    <w:p>
      <w:r>
        <w:t>IT: VD_FINDINFO HC / 2010 / 381 del 10 maggio 2010</w:t>
      </w:r>
    </w:p>
    <w:p>
      <w:pPr>
        <w:pStyle w:val="Heading2"/>
      </w:pPr>
      <w:r>
        <w:t>Regeste</w:t>
      </w:r>
    </w:p>
    <w:p>
      <w:r>
        <w:t>DISPOSITIONS PÉNALES DE LA LSTUP, BLANCHIMENT D'ARGENT | 305bis CP, 411 let. f CPP, 411 let. h CPP, 411 let. i CPP, 411 let. j CPP, 19 ch. 2 let. a LStup, 19 ch. 2 let. c LStup, 19a LStup</w:t>
      </w:r>
    </w:p>
    <w:p>
      <w:pPr>
        <w:pStyle w:val="Heading2"/>
      </w:pPr>
      <w:r>
        <w:t>Erwägungen</w:t>
      </w:r>
    </w:p>
    <w:p>
      <w:r>
        <w:rPr>
          <w:b/>
        </w:rPr>
        <w:t>E. 1</w:t>
      </w:r>
    </w:p>
    <w:p>
      <w:r>
        <w:t>a) Invoquant une violation de l'art. 411 let. f CPP, le recourant reproche au tribunal d'avoir rejeté ses conclusions incidentes tendant à la mise en œuvre d'un complément d'instruction aux fins d'établir l'origine des fonds qu'il transportait et qui ont été saisis à l'aéroport de Genève le 27 novembre 2008. b) Le moyen tiré de la violation de l'art. 411 let. f CPP est recevable lorsque le recourant a procédé par voie incidente à l'audience de jugement et que sa requête a été rejetée par le tribunal (Bovay, Dupuis, Monnier, Moreillon et Piguet, op. cit., n. 7.3 ad art. 411 CPP; Besse-Matile/Abravanel, op. cit., p. 101; JT 1981 III 31). En l'espèce, il ressort du procès-verbal (jgt, p. 4) que l'accusé a requis, par la voie incidente, un complément d'enquête. Le tribunal ayant rejeté cette requête, le moyen est recevable. c) Le droit d'être entendu permet au justiciable de participer à la procédure probatoire en exigeant l'administration des preuves déterminantes (TF 6B_587/2009 du 14 janvier 2010 c. 5.1; ATF 126 I 15 c. 2a/aa). Le droit de faire administrer des preuves n'existe toutefois que si l'offre de preuve a été formulée en temps utile et dans les formes prescrites, si elle se rapporte à un fait pertinent qui n'est pas déjà établi et si le moyen proposé est apte à apporter la preuve (TF 6B_587/2009, précité, c. 5.1; ATF 122 III 219 c. 3c). Un tribunal est en droit de limiter l'administration des preuves à celles relatives aux points essentiels pour l'issue de la cause et il n'est pas tenu de donner suite aux offres de preuve portant sur des faits qu'il estime peu importants pour le jugement (CCASS, 27 octobre 1997, n° 281; JT 1989 III 32; Bovay, Dupuis, Monnier, Moreillon et Piguet, op. cit., n. 7.4. ad art. 411 CPP). Si les offres sont manifestement inaptes à apporter la preuve ou s'il s'agit d'un fait sans pertinence, la requête sera rejetée. Le Tribunal fédéral admet donc que le droit d'être entendu n'interdit pas à un juge de refuser une mesure probatoire si, en appréciant d'une manière non arbitraire les preuves déjà apportées, il parvient à la conclusion que les faits pertinents sont déjà établis et qu'un résultat même favorable au requérant de la mesure probatoire sollicitée ne pourrait plus modifier sa conviction (ATF 130 II 425 c. 2.1; 125 I 127, c. 6c/cc; ATF 115 Ia 97, c. 5b, JT 1991 IV 25; CCASS, 9 novembre 1998, n° 299; CCASS, 27 octobre 1997, précité; Besse-Matile/Abravanel, op. cit., pp. 101 s. et les réf. cit.). Ainsi, déterminer au regard de l'art. 411 let. f CPP si c'est à tort qu'un tribunal a rejeté des conclusions incidentes qui tendaient à une mesure d'instruction complémentaire revient à juger du caractère arbitraire d'une telle mesure. Ce refus échappe à un tel grief s'il se fonde sur une appréciation anticipée des preuves déjà administrées pour maintenir l'instruction dans un cadre proportionné aux fins de la procédure (CCASS, 9 novembre 1998, précité; CCASS, 27 octobre 1997, précité; CCASS, 29 janvier 1997, n° 104; JT 1989 III 32; Besse-Matile/Abravanel, op. cit., spéc. p. 101). En résumé, le rejet de conclusions incidentes n'est justifié, dans un tel cas, que si le juge a refusé sans raison pertinente une offre de preuves ou une réquisition (CCASS, 9 novembre 1998, précité). Encore faut-il que la requête concerne un fait pertinent et que la mesure requise soit apte à le prouver. d) En l'espèce, par jugement incident, le tribunal a refusé de procéder au complément d'enquête requis par l'accusé aux cours de débats pour le motif que les faits étaient suffisamment établis après avoir procédé à l'audition de trois témoins requis par le recourant. Quant à celui-ci, il estime que la question de la provenance des fonds qui lui ont été confiés n'a pas été examinée de manière approfondie durant l'enquête préliminaire. L'intéressé soutient également que les preuves auraient été appréciées de manière arbitraire. Il requiert ainsi des mesures d'instruction complémentaires tendant à déterminer si les deux témoins L.________ et K.________ lui ont bien confié des fonds ainsi que la provenance et la destination de ces fonds. La cour de céans constate d'abord que le recourant n'a requis aucun complément d'enquête dans le délai prévu par l'art. 188 CPP. Par ailleurs, les premiers juges ont entendu l'entier des six témoins dont le recourant avait requis l'audition dans le délai figurant à l'art. 320 CPP (cf. Dossier, P. 59). Les témoins L.________ et K.________, notamment, ont été entendus en qualité de témoins lors de l'audience des débats. Partant, la requête déposée à l'audience et tendant à la mise en œuvre d'un complément d'enquête pour établir l'origine des fonds transportés par le recourant était tardive. En outre, le rejet de la requête incidente d'J.________ n'était pas arbitraire. En effet, ce dernier avait, d'une part, eu l'occasion de s'expliquer sur l'origine des fonds qu'il transportait le 27 novembre 2008 durant l'enquête et pendant l'audience des débats. D'autre part, il a admis au cours des débats n'être pas en mesure d'identifier les autres personnes lui ayant remis de l'argent, que ces dernières ne s'étaient pas manifestées auprès de lui et qu'il ne les connaissait pas (jgt, p. 4). Ces points ne sont pas remis en cause dans le cadre de son recours. Dans ces conditions, un complément d'enquête n'était pas nécessaire. Par ailleurs, le rejet de cette mesure d'instruction complémentaire n'était pas non plus arbitraire en tant qu'elle aurait visé à approfondir la situation s'agissant des déclarations des témoins auditionnés à l'audience. Le recourant ne précise d'ailleurs pas ses intentions à cet égard ni ne développe concrètement comment et sur quel point la situation pouvait être approfondie. Au surplus, l'intéressé soutient que des preuves ont été appréciées arbitrairement. Ses arguments ne relèvent toutefois pas du rejet injustifié de conclusions incidentes au sens de l'art. 411 let. f CPP. Les mesures d'instruction requises par le recourant doivent être rejetées, l'administration de mesures d'instruction en deuxième instance présupposant l'admission d'un moyen de nullité conformément à l'art. 433a CPP, ce qui n'est pas le cas en l'espèce pour le moyen invoqué. Mal fondé, le moyen invoqué par le recourant doit dès lors être rejeté.</w:t>
      </w:r>
    </w:p>
    <w:p>
      <w:r>
        <w:rPr>
          <w:b/>
        </w:rPr>
        <w:t>E. 2</w:t>
      </w:r>
    </w:p>
    <w:p>
      <w:r>
        <w:t>a) Se prévalant de l'art. 411 let. h CPP, le recourant soutient que les premiers juges ont apprécié les faits de manière arbitraire en retenant que le cas était grave selon l'art. 19 ch. 2 let. c LStup pour le seul motif qu'il avait vendu 5 kilos de marijuana et avait ainsi réalisé un bénéfice de 28'200 francs, sans toutefois examiner si la circonstance aggravante du métier était également réalisée. Il fait valoir que le jugement se fonde dès lors sur un état de fait insuffisant et lacunaire.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Le recours à la Cour de cassation pénale du Tribunal cantonal en procédure vaudoise, in JT 1996 III 66, p. 81). L’existence d’une insuffisance ou d’une lacune dans l’état de fait ne peut être retenue comme moyen de nullité, conformément à l'art. 411 let. h CPP, que si elle porte sur des faits stricto sensu,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cette disposition (Besse-Matile et Abravanel, op. cit., p. 104). c) Le moyen développé par J.________ relève en réalité de l'appréciation juridique des faits puisqu'il allègue une violation de l'art. 19 ch. 2 let. c LStup, soutenant que le tribunal a uniquement pris en compte la circonstance aggravante du chiffre d'affaire important sans examiner également la circonstance aggravante du métier. Les arguments du recourant, qu'il invoque d'ailleurs à nouveau dans son recours en réforme, seront donc examiné avec les moyens de réforme aux considérants 2. Mal fondé, ce moyen doit être rejeté.</w:t>
      </w:r>
    </w:p>
    <w:p>
      <w:r>
        <w:rPr>
          <w:b/>
        </w:rPr>
        <w:t>E. 3</w:t>
      </w:r>
    </w:p>
    <w:p>
      <w:r>
        <w:t>a) Le recourant soutient que la quotité de la peine est arbitrairement sévère, le tribunal ayant fait une mauvaise application de l'art. 47 CP. Invoquant notamment l'interdiction de la double prise en considération, l'intéressé reproche aux premiers juges d'avoir tenu compte, dans le cadre de la fixation de la peine, de la période au cours de laquelle il a exercé son activité coupable alors qu'ils avaient déjà retenu la circonstance aggravante du métier.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cependant pas de manière détaillée et exhaustive tous les éléments qui doivent être pris en considération, ni les conséquences exactes qu'il faut en tirer quant à la fixation de la peine. Cette disposition confère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Dupuis, Monnier, Moreillon et Piguet, op. cit., n. 1.4 ad art. 415 CPP; ATF 129 IV 6 c. 6.1; ATF 127 IV 101 c. 2c; ATF 122 IV 156 c. 3b; ATF 116 IV 288 c. 2b). c) Dans le domaine spécifique des infractions à la LStup, le Tribunal fédéral a, en outre, dégagé les principes suivants (cf. TF 6B_380/2008 du 4 août 2008 c. 6.1.2 ainsi que les arrêts cités ci-après):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ATF 121 IV 193 c. 2b/aa). Le type et la nature du trafic en cause sont aussi déterminants. L'appréciation est différente selon que l'auteur a agi de manière autonome ou comme membre d'une organisation. Dans ce dernier cas, il est important de déterminer la nature de sa participation et sa position au sein de l'organisation, celui qui joue un rôle décisif dans la mise sur pied des opérations et qui participe de manière importante au bénéfice illicite étant plus coupable qu'un simple passeur (ATF 121 IV 202 c. 2d/cc). L'étendue du trafic entrera également en considération. Un trafic purement local sera en règle générale considéré comme moins grave qu'un trafic avec des ramifications internationales. Le nombre d'opérations constitue un indice supplémentaire permettant de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ainsi que les raisons qui l'ont poussé à agir. Enfin, il faudra tenir compte des antécédents, qui comprennent aussi bien les condamnations antérieures que les circonstances de la vie passée, ainsi que du comportement du délinquant lors de la procédure. Le juge pourra atténuer la peine en raison de l'aveu ou de la bonne coopération de l'auteur de l'infraction avec les autorités policières ou judiciaires notamment si cette coopération a permis d'élucider des faits qui, à ce défaut, seraient restés obscurs (ATF 121 IV 2020 c. 2d/aa; ATF 118 IV 342 c. 2d). d) Dans le cas d'espèce, la peine n'est manifestement pas arbitrairement sévère compte tenu de la nature du trafic, du concours d'infractions au sens de l'art. 49 al. 1 CP, de l'importance du rôle joué par le recourant, qui n'était pas seulement revendeur de drogue mais également transporteur international de fonds dans le réseau [...], et des antécédents de ce dernier. Ces divers aspects ont été retenus par les premiers juges et montrent que ceux-ci ne sont pas sortis du cadre légal en fixant la peine, ne s'étant pas fondés sur des critères étrangers à l'art. 47 CP et à la jurisprudence précitée. Le tribunal a, en outre, également pris en compte des éléments à la décharge de l'accusé, tels que les regrets qu'il avait exprimés, son bon comportement depuis sa sortie de prison et les aveux finalement intervenus. Le recourant reproche au tribunal d'avoir tenu compte de la durée de l'activité délictueuse en plus de la circonstance aggravante du métier. Il soutient que le tribunal a ainsi violé l'interdiction de la double prise en considération. Selon la jurisprudence,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En revanche, le juge peut tenir compte dans la fixation de la peine de l'intensité de cette circonstance (TF 6B_494/2007 du 9 novembre 2007 c. 5.3.1). En effet, le juge fixe la peine en fonction de la gravité de la faute qui doit être évaluée au regard des circonstances de l'infraction et de la personne de l'auteur. En l'espèce, l'argument du recourant tombe à faux. En effet, la circonstance aggravante du métier et la durée de l'activité délictueuse ne sont pas des circonstances aggravantes identiques. En outre, il sied de relever que la circonstance aggravante du métier a été retenue en raison du bénéfice que le recourant a réalisé et non en considération de la durée des infractions. Au demeurant, même si la durée du trafic de drogue n'avait pas été prise en considération dans les éléments à charge, cela ne changerait en rien la quotité de la peine prononcée. Il convient enfin de préciser que la réduction de 5 kilos à 4,7 kilos opérée par la cour de céans s'agissant de la quantité de marijuana vendue ne change rien à la quotité de la peine prononcée non plus. En définitive, la quotité de la peine infligée n'apparaît pas critiquable au regard des infractions commises, de la culpabilité de l'accusé et de sa situation personnelle. Elle ne relève ni d'un abus, ni d'un excès du pouvoir d'appréciation dont jouit l'autorité intimée, laquelle n'a ignoré aucun des critères déterminants consacrés à l'art. 47 CP. Mal fondé, le moyen doit être rejeté. III. En définitive, le recours d'J.________ doit être rejeté, après admission d'un moyen de nullité, et le jugement confirmé, en application de l'art. 431 al. 2 CPP. Vu l'issue du recours, et compte tenu de l'admission d'un moyen de nullité, les frais de procédure de deuxième instance seront mis pour les 4/5èmes à la charge du recourant, le solde étant laissé à la charge de l'Etat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