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379 vom 8. Juni 2010</w:t>
      </w:r>
    </w:p>
    <w:p>
      <w:r>
        <w:t>VD Tribunal cantonal, 2010-06-08, FR</w:t>
      </w:r>
    </w:p>
    <w:p>
      <w:r>
        <w:rPr>
          <w:b/>
        </w:rPr>
        <w:t xml:space="preserve">Quelle: </w:t>
      </w:r>
      <w:r>
        <w:t>https://mcp.opencaselaw.ch/entscheid/vd_findinfo_HC___2010___379</w:t>
      </w:r>
    </w:p>
    <w:p>
      <w:r>
        <w:t>FR: VD_FINDINFO HC / 2010 / 379 du 8 juin 2010</w:t>
      </w:r>
    </w:p>
    <w:p>
      <w:r>
        <w:t>IT: VD_FINDINFO HC / 2010 / 379 del 8 giugno 2010</w:t>
      </w:r>
    </w:p>
    <w:p>
      <w:pPr>
        <w:pStyle w:val="Heading2"/>
      </w:pPr>
      <w:r>
        <w:t>Regeste</w:t>
      </w:r>
    </w:p>
    <w:p>
      <w:r>
        <w:t>FAUTE, REPENTIR SINCÈRE, FIXATION DE LA PEINE | 47 CP, 48 let. d CP, 415 CPP</w:t>
      </w:r>
    </w:p>
    <w:p>
      <w:pPr>
        <w:pStyle w:val="Heading2"/>
      </w:pPr>
      <w:r>
        <w:t>Erwägungen</w:t>
      </w:r>
    </w:p>
    <w:p>
      <w:r>
        <w:rPr>
          <w:b/>
        </w:rPr>
        <w:t>E. 1</w:t>
      </w:r>
    </w:p>
    <w:p>
      <w:r>
        <w:t>Le recours est en réforme uniquement. Saisie d'un tel recours,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2</w:t>
      </w:r>
    </w:p>
    <w:p>
      <w:r>
        <w:t>Invoquant une violation des art. 47 et 48 CP, le recourant se plaint de la peine infligée, qu'il tient pour arbitrairement sévère. Seule la quotité de la peine est contestée. 2.1a)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 c) 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 Pellet et Stoudmann, Code pénal annoté, 3e éd., Lausanne 2007, n. 1.29 ad art. 47 CP et les réf. cit.). La quantité de drogue est un élément d’appréciation important mais toutefois pas prépondérant (ATF 122 IV 299, c. 2c ; ATF 121 IV 202, c. 2d/cc, JT 1997 IV 108; ATF 118 IV 342, c. 2c, JT 1994 IV 67; CCASS, B., 5 décembre 2005, no 418). Elle perd cependant de l'importance au fur et à mesure que l'on s'éloigne de la limite à partir de laquelle le cas doit être considéré comme grave au sens de l'art. 19 ch. 2 let. a LStup (TF 6B_380/2008 du 4 août 2008).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(TF 6S.21/2002 du 17 avril 2002, c. 2c et les réf. cit.). S'agissant en particulier du trafic de cocaïne, il y a cas grave au sens de l'art. 19 ch. 2 let. a LStup à partir de 18 grammes de drogue pure (ATF 109 IV 143, JT 1984 IV 84, dont les principes n'ont pas été affectés par le changement de jurisprudence consacré par l'ATF 117 IV 314). La modification de la loi entrée en vigueur le 1 er janvier 2007 n'a pas modifié la définition du cas grave. d) Selon l'art. 48 let. d CP, le juge atténue la peine si l'auteur a manifesté par des actes un repentir sincère, notamment s'il a réparé le dommage autant qu'on pouvait l'attendre de lui.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et non pas en fonction de considérations tactiques liées à la procédure pénale (TF 6B_827/2008 du 7 janvier 2009; 6B_291/2007 du 25 janvier 2008; cf. aussi, sous l'empire des art. 63 et 64 aCP, ATF 107 IV 98, c. 1).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 1). 2.2a) Le recourant fait valoir qu'il a passé des aveux complets, ce qui, selon lui, justifierait une réduction de peine de l'ordre de un cinquième à un tiers. Certes, selon les faits retenus, l'intéressé a admis les faits. Toutefois, ceux-ci étaient clairement établis par les mises en cause de tierces personnes, de sorte que le comportement de l'accusé ne saurait être considéré comme étant particulièrement méritoire. Par ailleurs, il n'a pas cessé, au cours de la procédure, de minimiser ses responsabilités en se présentant comme la victime de ses mauvaises fréquentations. Au regard de ces éléments, la circonstance atténuante du repentir sincère ne saurait être retenue. Au surplus, la jurisprudence dont se prévaut le recourant n'est pas topique sous l'angle du repentir sincère. Mal fondé, le grief soulevé doit être rejeté. b) 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 En l'espèce, le comportement du recourant réalise deux circonstances aggravantes prévues au chiffre 2 de l'art. 19 LStup. D'une part, il a vendu au minimum 25.65 g de cocaïne pure à différents toxicomanes et aidé à conditionner 1'551,1 g de cette même drogue pure, soit des quantités de cocaïne pouvant mettre en danger la santé de nombreuses personnes. D'autre part, pour le conditionnement, le recourant a agi comme affilié à une bande formée pour se livrer au trafic illicite de stupéfiants. Pour le surplus, il suffit de renvoyer aux motifs des premiers juges, déjà énoncés, qui sont adéquats. On ne discerne au demeurant aucune circonstance à décharge. A cet égard également, les motifs du tribunal correctionnel doivent être adoptés. Dans ces circonstances, la faute du recourant ne peut être qualifiée que de grave. La quotité de la peine privative de liberté se situe dans les limites légales. Elle échappe au grief d'arbitraire.</w:t>
      </w:r>
    </w:p>
    <w:p>
      <w:r>
        <w:rPr>
          <w:b/>
        </w:rPr>
        <w:t>E. 3</w:t>
      </w:r>
    </w:p>
    <w:p>
      <w:r>
        <w:t>En conclusion, le recours doit être rejeté en application de l'art. 431 al. 2 CPP et le jugement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