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353 vom 5. Juli 2010</w:t>
      </w:r>
    </w:p>
    <w:p>
      <w:r>
        <w:t>VD Tribunal cantonal, 2010-07-05, FR</w:t>
      </w:r>
    </w:p>
    <w:p>
      <w:r>
        <w:rPr>
          <w:b/>
        </w:rPr>
        <w:t xml:space="preserve">Quelle: </w:t>
      </w:r>
      <w:r>
        <w:t>https://mcp.opencaselaw.ch/entscheid/vd_findinfo_HC___2010___353</w:t>
      </w:r>
    </w:p>
    <w:p>
      <w:r>
        <w:t>FR: VD_FINDINFO HC / 2010 / 353 du 5 juillet 2010</w:t>
      </w:r>
    </w:p>
    <w:p>
      <w:r>
        <w:t>IT: VD_FINDINFO HC / 2010 / 353 del 5 luglio 2010</w:t>
      </w:r>
    </w:p>
    <w:p>
      <w:pPr>
        <w:pStyle w:val="Heading2"/>
      </w:pPr>
      <w:r>
        <w:t>Regeste</w:t>
      </w:r>
    </w:p>
    <w:p>
      <w:r>
        <w:t>EXPULSION DE LOCATAIRE, LOI CANTONALE RELATIVE À LA PROCÉDURE EN MATIÈRE DE BAIL | 257d CO, 23 LPEBL, 29 LPEBL</w:t>
      </w:r>
    </w:p>
    <w:p>
      <w:pPr>
        <w:pStyle w:val="Heading2"/>
      </w:pPr>
      <w:r>
        <w:t>Erwägungen</w:t>
      </w:r>
    </w:p>
    <w:p>
      <w:r>
        <w:rPr>
          <w:b/>
        </w:rPr>
        <w:t>E. 1</w:t>
      </w:r>
    </w:p>
    <w:p>
      <w:r>
        <w:t>a) 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qui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JT 2009 III 79 c. 2a).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déposé en temps utile, le recours est recevable en la forme. Le recourant n'a pas contesté le congé devant la commission de conciliation compétente. Le recours doit donc être examiné sous l'angle restreint de l'arbitraire. b)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JT 2008 III 12 c. 3a; JT 1993 III 88 c. 3). En l'espèce, l'état de fait de l'ordonnance doit être rectifié sur un point. La lettre recommandée adressée par la bailleresse à la locataire le 11 août 2009 réclamait le paiement d’un montant de 7'140 fr., TVA comprise, se décomposant comme suit : « Loyer Fr. 6'000.-, Acomptes de charges Fr. 800.-, Frais de rappel impayés Fr. 240.-, Frais de mise en demeure Fr. 100.- ». Il doit également être complété en ce sens que la locataire s’est acquittée en mains de la gérance [...] de deux montants, de 3'400 fr. chacun, l’un en date du 14 août 2009 valeur au 17 août 2009, l’autre à une date illisible, valeur au 24 juin 2009. Pour le surplus, l’état de fait est conforme aux pièces du dossier.</w:t>
      </w:r>
    </w:p>
    <w:p>
      <w:r>
        <w:rPr>
          <w:b/>
        </w:rPr>
        <w:t>E. 2</w:t>
      </w:r>
    </w:p>
    <w:p>
      <w:r>
        <w:t>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2002, n. 5 ad art. 356 CPC, p. 537; cf. aussi sur la notion d'arbitraire : ATF 134 I 263, c. 3.1; ATF 133 II 257 c. 5.1; ATF 132 I 13 c. 5.1; ATF 129 I 173 c. 3.1). Il ne suffit pas que la motivation de la décision soit insoutenable; encore faut-il que celle-ci apparaisse arbitraire dans son résultat (ATF 133 I 149 c. 3.1).</w:t>
      </w:r>
    </w:p>
    <w:p>
      <w:r>
        <w:rPr>
          <w:b/>
        </w:rPr>
        <w:t>E. 3</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(ATF 120 II 31, rés. JT 1995 I 155; SJ 2005 I 310 c. 3.1; SJ 2004 I 424 c. 3.1) ou n'a pas formulé de manière assez claire ses prétentions lorsqu'il a imparti le délai comminatoire (Ramoni, Demeure du débiteur et contrats de droit suisse, thèse Lausanne 2002, p. 153 qui renvoie à l'ATF 120 II 31 à la note infrapaginale 677). Au jour de la notification de l'avis comminatoire, il faut que l'arriéré de loyer soit déterminable de manière certaine, sans qu'il soit cependant nécessaire d'indiquer le montant impayé de manière chiffrée. Il suffit que l'objet de la mise en demeure soit déterminable sans discussion (TF du 14 juin 2000, publié in CdB 2000 p. 107, sp. 109). Cela peut intervenir soit par l'indication des mois en souffrance (mois de calendrier impayés; Lachat, Le droit du bail, 2008, p. 666), soit par l'indication d'un montant d'arriéré de loyer précis, pour autant, dans ce dernier cas, que le locataire ne risque pas de se voir imposer la justification du paiement de tous les loyers déjà échus, sous prétexte que l'un d'entre eux n'aurait, selon le bailleur, pas été réglé (CREC, 17 mars 2010, n° 141/I ; 28 mars 2007, n° 133/I et les arrêts cités).</w:t>
      </w:r>
    </w:p>
    <w:p>
      <w:r>
        <w:rPr>
          <w:b/>
        </w:rPr>
        <w:t>E. 4</w:t>
      </w:r>
    </w:p>
    <w:p>
      <w:r>
        <w:t>En l’espèce, le montant du loyer de 6'000 fr., auquel s’ajoutent des acomptes de charges par 800 fr., figurant dans la lettre de mise en demeure de la Régie du Rhône du 11 août 2009 (pièce 8) est certes précis et permet au locataire de comprendre qu’il est en retard de deux mensualités de loyer plus les charges (cf. pièce 6). Toutefois, à défaut de décompte et d’indication portant précisément sur les mois arriérés, cet arriéré est censé se rapporter aux deux derniers mois exigibles à la date de la mise en demeure, soit juillet et août, le loyer étant payable par mois d’avance (cf. pièce 4). Or, le relevé de compte de la banque Raiffeisen produit au dossier montre que la locataire s’est acquittée de deux montants de 3'400 fr. chacun, sous forme d’ordre permanent en faveur de [...], l’un valeur 24 juin 2009, l’autre valeur 17 août 2009. La recourante fait valoir, dans son recours, que le premier versement correspondait au loyer du mois de juillet 2009, tandis que le second correspondait au mois d’août. Elle explique que ces versements ont été effectués en mains de la précédente gérance de l’intimée, qui changeait souvent de mandataire, mais que cela ne saurait avoir d’incidence sur la régularité des opérations intervenues. Elle ajoute que, de ce fait, le montant de l’arriéré indiqué dans la sommation était erroné. L’intimée, pour sa part, conteste, décompte à l’appui, que le versement de juin opéré par la locataire ait concerné le loyer de juillet. Elle expose qu’en réalité ledit versement était destiné à acquitter le loyer du mois courant et que, à la date du 11 août 2009, il restait bien deux loyers impayés, à savoir ceux de juillet et d’août. Le décompte qu’elle produit en annexe à son mémoire, pièce nouvelle, n’est pas recevable et doit être écarté (cf. Guignard, in Ducret et alii, n. 1 ad art. 25 LPEBL, pp. 214-215 et les réf. citées), cela par analogie avec la règle applicable à la partie recourante. Du moment qu’il appartenait à l’intimée de faire en sorte que l’arriéré qu’elle réclamait à la locataire au jour de la notification de l’avis comminatoire soit déterminable de manière certaine et que les pièces au dossier ne permettent pas de savoir si l’objection qu’elle formule est justifiée, l’incertitude qui en découle lui est opposable. En tous les cas, le premier juge ne pouvait, sur la base des pièces à son dossier, avoir la certitude que la créance invoquée par la bailleresse restait en souffrance. Au demeurant, si l’on s’en tenait à sa constatation selon laquelle il n’y avait plus qu’un seul loyer de 3'400 fr. qui restait dû à la date du 11 août 2009, force serait de constater que le règlement non contesté du 14 août 2009 aurait éteint la créance de la bailleresse et que l’expulsion ne devait pas être ordonnée. Par surabondance, on relèvera que l’avis comminatoire précité comportait, outre les montants de loyer et d’acomptes de charges, des frais de rappel impayés ainsi que des frais de mise en demeure. De tels frais échappent au domaine d’application de l’art. 257d CO (cf. Lachat, le bail à loyer, p. 664 et les réf. citées). Dans la mesure où les postes qui permettent l’application de l’art. 257d CO et ceux qui ne le permettent pas n’étaient pas clairement distingués dans l’avis litigieux, mais étaient au contraire additionnés les uns aux autres, leur somme devant être réglée sous la commination de la disposition précitée, on peut douter de la régularité formelle de la mise en demeure.</w:t>
      </w:r>
    </w:p>
    <w:p>
      <w:r>
        <w:rPr>
          <w:b/>
        </w:rPr>
        <w:t>E. 5</w:t>
      </w:r>
    </w:p>
    <w:p>
      <w:r>
        <w:t>juillet 2010 Le dispositif de l'arrêt qui précède est communiqué par écrit aux intéressés. Le greffier : Du L'arrêt qui précède, dont la rédaction a été approuvée à huis clos, est notifié à : ‑ Me Yves Nicole (pour L.________ SA), ‑ M. Christophe Savoy, aab (pour B.________ SA). La Chambre des recours considère que la valeur litigieuse est de 3'400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