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349 vom 1. Juli 2010</w:t>
      </w:r>
    </w:p>
    <w:p>
      <w:r>
        <w:t>VD Tribunal cantonal, 2010-07-01, FR</w:t>
      </w:r>
    </w:p>
    <w:p>
      <w:r>
        <w:rPr>
          <w:b/>
        </w:rPr>
        <w:t xml:space="preserve">Quelle: </w:t>
      </w:r>
      <w:r>
        <w:t>https://mcp.opencaselaw.ch/entscheid/vd_findinfo_HC___2010___349</w:t>
      </w:r>
    </w:p>
    <w:p>
      <w:r>
        <w:t>FR: VD_FINDINFO HC / 2010 / 349 du 1 juillet 2010</w:t>
      </w:r>
    </w:p>
    <w:p>
      <w:r>
        <w:t>IT: VD_FINDINFO HC / 2010 / 349 del 1 luglio 2010</w:t>
      </w:r>
    </w:p>
    <w:p>
      <w:pPr>
        <w:pStyle w:val="Heading2"/>
      </w:pPr>
      <w:r>
        <w:t>Regeste</w:t>
      </w:r>
    </w:p>
    <w:p>
      <w:r>
        <w:t>EXPERTISE, PROCÉDURE CANTONALE | 489 CPC, 586 CPC</w:t>
      </w:r>
    </w:p>
    <w:p>
      <w:pPr>
        <w:pStyle w:val="Heading2"/>
      </w:pPr>
      <w:r>
        <w:t>Erwägungen</w:t>
      </w:r>
    </w:p>
    <w:p>
      <w:r>
        <w:rPr>
          <w:b/>
        </w:rPr>
        <w:t>E. 1</w:t>
      </w:r>
    </w:p>
    <w:p>
      <w:r>
        <w:t>L'art. 586 CPC ouvre la voie du recours non contentieux des art. 489 ss CPC contre les prononcés rendus par le président de tribunal d'arrondissement en matière d'action en partage (art. 567 ss CPC) (Poudret/Haldy/Tappy, Procédure civile vaudoise, 3ème éd., 2002, n. 1 ad art. 586 CPC, p. 846; JT 2001 III 13 c. 1a). Tel est notamment le cas de l'ordonnance de vente aux enchères (CREC II 16 juin 2009 no 110).</w:t>
      </w:r>
    </w:p>
    <w:p>
      <w:r>
        <w:rPr>
          <w:b/>
        </w:rPr>
        <w:t>E. 2</w:t>
      </w:r>
    </w:p>
    <w:p>
      <w:r>
        <w:t>Saisie d'un recours non contentieux, la Chambre des recours revoit librement la cause en fait et en droit (Poudret/Haldy/Tappy, op. cit., note ad art. 498 CPC, p. 766). La production de pièces en deuxième instance est admise (Poudret/ Haldy/Tappy, op. cit., n. 2 ad art. 496 CPC, p. 765).</w:t>
      </w:r>
    </w:p>
    <w:p>
      <w:r>
        <w:rPr>
          <w:b/>
        </w:rPr>
        <w:t>E. 3</w:t>
      </w:r>
    </w:p>
    <w:p>
      <w:r>
        <w:t>Le recourant fait valoir qu'il y a lieu d'effectuer une expertise, afin d'établir des protocoles détaillés pour déterminer les différents taux de radon dans les locaux d'habitation et de séjour de l'immeuble sis chemin [...], à Avenches, de sorte qu'il y aurait lieu de différer la mise aux enchères. Il ne rend cependant nullement vraisemblable que l'immeuble ne respecterait pas les valeurs limites de l'ordonnance du 22 juin 1994 sur la radioprotection (ORaP; RS 814.501), rendant nécessaire l'établissement d'une expertise. Il résulte au contraire du site internet de l'Office fédéral de la santé publique que le risque de radon sur la commune d'Avenches est léger, aucun cas supérieur à 400 Bq/m3 n'y ayant été répertorié, alors que la valeur limite en cas de changement de propriétaire est de 1'000 Bq/m3 (Source : http://www.bag.admin.ch/ themen/strahlung/00046/01624/index.html?lang=fr&amp;source=form_select&amp;sel_canton=VD). Au demeurant, une telle expertise est sans pertinence en vue de la vente aux enchères privées. Les conditions de vente contiennent du reste une clause attirant l'attention de l'acheteur sur la législation en la matière et stipulent qu'aucune mesure de radon n'ayant été effectuée, l'acheteur décharge les vendeurs de toute responsabilité à cet égard (art. 1 al. 3 des conditions de vente). On relèvera encore que le recourant avait initialement motivé sa requête de renvoi des enchères par sa prétendue indisponibilité en 2010, en raison de fréquents voyages à l'étranger pour des raisons professionnelles (lettre du 20 avril 2010) et n'a invoqué le motif lié à la prétendue nécessité de procéder à une expertise que dans la présente procédure de recours. La requête apparaît ainsi purement dilatoire.</w:t>
      </w:r>
    </w:p>
    <w:p>
      <w:r>
        <w:rPr>
          <w:b/>
        </w:rPr>
        <w:t>E. 4</w:t>
      </w:r>
    </w:p>
    <w:p>
      <w:r>
        <w:t>Le recourant conteste la mise à prix fixée à 250'000 fr. selon l'art. 6 des conditions de vente aux enchères, qu'il voudrait voir portée à 1'100'000 francs. L'arrêt de la Chambre des recours du 7 avril 2009 no 64/II a ordonné la vente aux enchères entre A.________, B.________ et C.________ au prix minimum de 250'000 fr. de l'immeuble faisant l'objet du partage (ch. II/I du dispositif). Les conditions de vente ratifiées par le prononcé attaqué ne font que se conformer à cet arrêt, qui, jouissant de l'autorité de chose jugée, ne saurait être remis en cause à ce stade.</w:t>
      </w:r>
    </w:p>
    <w:p>
      <w:r>
        <w:rPr>
          <w:b/>
        </w:rPr>
        <w:t>E. 5</w:t>
      </w:r>
    </w:p>
    <w:p>
      <w:r>
        <w:t>En définitive, le recours doit être rejeté et, vu l'effet suspensif accordé au recours, la cause renvoyée au premier juge afin qu'il fixe une nouvelle date d'enchères, dès les considérants du présent arrêt adressés aux parties pour notification. Les frais de deuxième instance du recourant sont arrêtés à 1'800 fr. (art. 236 al. 1 TFJC [tarif des frais judiciaires en matière civile; RSV 270.11.5]). Le recourant doit verser aux intimés, créanciers solidaires, la somme de 1'500 fr. à titre de dépens de deuxième instance. Par ces motifs, la Chambre des recours du Tribunal cantonal, statuant à huis clos, prononce : I. Le recours est rejeté. II. La cause est renvoyée au Président du Tribunal d'arrondissement de La Broye et du Nord vaudois pour qu'il fixe, une fois les considérants écrits du présent arrêt envoyés aux parties pour notification, une nouvelle date de vente aux enchères. III. Les frais de deuxième instance du recourant sont arrêtés à 1'800 fr. (mille huit cents francs). IV. Le recourant A.________ doit verser aux intimés B.________ et C.________, créanciers solidaires, la somme de 1'500 fr. (mille cinq cents francs) à titre de dépens de deuxième instance. V. L'arrêt motivé est exécutoire. Le président :               Le greffier : Du 1er juillet 2010 Le dispositif de l'arrêt qui précède est communiqué par écrit aux intéressés. Le greffier : Du L'arrêt qui précède, dont la rédaction a été approuvée à huis clos, est notifié en expédition complète, par l'envoi de photocopies, à : ‑ M. A.________, ‑ Me Olivier Burnet (pour B.________ et C.________). La Chambre des recours considère que la valeur litigieuse est de 250'000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