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338 vom 26. März 2010</w:t>
      </w:r>
    </w:p>
    <w:p>
      <w:r>
        <w:t>VD Tribunal cantonal, 2010-03-26, FR</w:t>
      </w:r>
    </w:p>
    <w:p>
      <w:r>
        <w:rPr>
          <w:b/>
        </w:rPr>
        <w:t xml:space="preserve">Quelle: </w:t>
      </w:r>
      <w:r>
        <w:t>https://mcp.opencaselaw.ch/entscheid/vd_findinfo_HC___2010___338</w:t>
      </w:r>
    </w:p>
    <w:p>
      <w:r>
        <w:t>FR: VD_FINDINFO HC / 2010 / 338 du 26 mars 2010</w:t>
      </w:r>
    </w:p>
    <w:p>
      <w:r>
        <w:t>IT: VD_FINDINFO HC / 2010 / 338 del 26 marzo 2010</w:t>
      </w:r>
    </w:p>
    <w:p>
      <w:pPr>
        <w:pStyle w:val="Heading2"/>
      </w:pPr>
      <w:r>
        <w:t>Regeste</w:t>
      </w:r>
    </w:p>
    <w:p>
      <w:r>
        <w:t>APPRÉCIATION DES PREUVES, INTERDICTION DE L'ARBITRAIRE, FIXATION DE LA PEINE, DOL ÉVENTUEL | 12 al. 2 CP, 42 CP, 47 CP, 411 let. h CPP, 411 let. i CPP, 415 CPP, 431 al. 2 CPP</w:t>
      </w:r>
    </w:p>
    <w:p>
      <w:pPr>
        <w:pStyle w:val="Heading2"/>
      </w:pPr>
      <w:r>
        <w:t>Erwägungen</w:t>
      </w:r>
    </w:p>
    <w:p>
      <w:r>
        <w:rPr>
          <w:b/>
        </w:rPr>
        <w:t>E. 1</w:t>
      </w:r>
    </w:p>
    <w:p>
      <w:r>
        <w:t>Invoquant l’art. 411 let. h CPP, I.________ reproche tout d’abord au tribunal de ne pas avoir précisé dans l’état de fait du jugement qu’aucun coup de couteau n’avait été porté et que la lame de celui-ci n’avait pas touché la plaignante. a) On rappellera tout d’abord que le moyen de nullité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(Bovay/Dupuis/Monnier/Moreillon/Piguet, op. cit., n. 8.1 ad art. 411 CPP; CCASS., 19 septembre 2000, n° 504; CCASS, 14 septembre 2000, n° 494; JT 1991 III 45 ; JT 1999 III 83, c. 6b; Besse-Matile et Abravanel, op. cit., p. 103). S’agissant de l’art. 411 let. h CPP, l’existence d’une insuffisance ou d’une lacune dans l’état de fait ne peut être retenue comme moyen de nullité que si elle porte sur des faits stricto sensu,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cette disposition (Besse-Matile et Abravanel, op. cit., p. 104). b) En l’occurrence, l’affirmation de la recourante n’est pas entièrement exacte. Les premiers juges ont en effet clairement écrit, en page 8 du jugement, que la lame n’avait pas été posée à plat sur le cou de la plaignante et qu’elle avait été dirigée pointe en avant. Pour le reste, tous les faits négatifs n’ont pas à être mentionnés dans un jugement, dont il résulte en l’espèce clairement, même si c’est implicitement, que la victime n’a pas été blessée par la pointe du couteau brandi en avant par la recourante. Mal fondé, le moyen ne peut qu’être rejeté.</w:t>
      </w:r>
    </w:p>
    <w:p>
      <w:r>
        <w:rPr>
          <w:b/>
        </w:rPr>
        <w:t>E. 2</w:t>
      </w:r>
    </w:p>
    <w:p>
      <w:r>
        <w:t>Invoquant l’art. 411 let. i CPP et une violation du principe « in dubio pro reo », la recourante reproche aux premiers juges de ne pas avoir détaillé la manière dont ils avaient acquis la conviction que l’intéressée avait tenté de porter un coup avec le couteau, se bornant à mentionner ce fait, sans le motiver. a ) En procédure vaudoise, le principe in dubio pro reo est considéré comme un moyen de nullité et non plus de réforme (JT 2007 III 82 s). En tant que règle sur le fardeau de la preuve, sa violation est examinée sous l'angle de l'art. 411 let. g CPP (JT 2003 III 70, c. 2a). Si elle concerne l'appréciation des preuves, elle est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JT 1991 III 45). Tel n'est pas le cas lorsque le premier juge n'a méconnu aucun des éléments de l'instruction et que, pour fixer le point litigieux, on ne peut que s'en référer à son appréciation (JT 2003 III 70, c. 2a). Il ne suffit pas non plus qu'une solution différente puisse être tenue pour également concevable, ou apparaisse même préférable (JT 2003 III 70, précité, c. 2b; ATF 126 I 168, c. 3a; ATF 125 I 166, c. 2a). En tant qu’il concerne l’appréciation des preuves,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Il existe néanmoins une nuance entre l'arbitraire dans l'appréciation des preuves et la mise en oeuvre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spéc. pp. 422 s.).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(ATF 132 III 209, c. 2.1; ATF 129 I 49, c. 4; ATF 128 II 259, c. 5). b) La recourante se borne ici à développer une argumentation de nature purement appellatoire et dépourvue de pertinence: les premiers juges ont en  effet répondu clairement aux arguments factuels soulevés aux débats et, se référant aux auditions de l’enquête, exposé de manière précise et circonstanciée les faits retenus, sans qu’on ne puisse en aucun endroit taxer ceux-ci d’arbitraire. D’ailleurs, même la recourante n’expose pas en quoi le raisonnement du tribunal le serait. Il n’était en particulier pas arbitraire pour les premiers juges, au vu des éléments dont ils disposaient, de retenir que la recourante avait voulu porter un coup de couteau à sa voisine. La démonstration opérée en page</w:t>
      </w:r>
    </w:p>
    <w:p>
      <w:r>
        <w:rPr>
          <w:b/>
        </w:rPr>
        <w:t>E. 7</w:t>
      </w:r>
    </w:p>
    <w:p>
      <w:r>
        <w:t>in fine du jugement est à cet égard claire et convaincante. Mal fondé, le moyen ne peut dès lors qu’être rejeté dans la mesure de sa recevabilité. 3. La recourante nie enfin avoir eu toute intention de tuer la plaignante et invoque à cet égard une violation du principe in dubio pro reo. Elle affirme que son intention se limitait à effrayer sa voisine et à attirer l’attention sur sa détresse. Elle soutient au demeurant que le jugement serait douteux lorsqu’il retient qu’elle aurait tenté de porter un coup de couteau à la victime. Quoi qu’il en soit, un tel coup n’aurait selon elle pas été de nature, au vu des éléments contenus dans le dossier, à attenter à la vie de dame U.________. L’argumentation développée par la recourante est à nouveau pour l’essentiel appellatoire, l’intéressée tentant de renverser l’appréciation factuelle opérée par les premiers juges en page 7 in fine du jugement. Or, les arguments mis en exergue par le tribunal pour retenir l’intention n’ont rien d’arbitraire, ce d’autant qu’il faut les replacer dans le contexte de la responsabilité très réduite de la recourante, que ce soit sous l’angle de sa capacité d’apprécier le caractère illicite de ses actes ou sous celui de se déterminer selon cette appréciation. Les premiers juges ont aussi répondu à l’argument tiré de la force physique prétendument insuffisante pour tuer, sans que leur argumentation puisse être qualifiée d’arbitraire sur ce point (cf. jgt, p. 8). Il en va de même s’agissant de l’intention de tuer retenue par le tribunal, tout en relevant qu’il n’est pas déterminant à cet égard que la recourante ait dit lors de ses auditions qu’elle ne voulait pas tuer et qu’elle ne pourrait pas "faire de mal à une mouche", les premiers juges ayant clairement exposé pour quels motifs ils n’étaient pas convaincu par ces affirmations. Mal fondé, le moyen ne peut dès lors qu’être rejeté dans la mesure où il est recevable et, avec lui, l’ensemble du recours en nullité. II. Recours en réforme 1. Vu le rejet du recours en nullité, la Cour de cassation est liée par les faits constatés dans le jugement, sous réserve d'inadvertances manifestes qu'elle rectifie d'office selon l'art. 447 al. 2 CPP. Il n'y en a pas en l'espèce. 2. I.________ conteste s’être rendue coupable de tentative de meurtre au sens des art. 12 et 111 CP. a) Dans la mesure où, dans un premier temps, la recourante fonde son argumentation en se référant à ses moyens de nullité et aux rectifications de l’état de fait que ces moyens devraient, selon elle, entraîner, elle doit être écartée dès lors qu’elle repose sur des prémisses de fait qui ne sont pas réalisées. Reste à se prononcer sur l’argument de la recourante qui considère que c’est à tort que les premiers juges ont retenu qu’elle avait agi par dol éventuel. I.________ relève qu’elle ne disposait pas d’une conscience et d’une volonté claire au moment des faits, de sorte qu’on ne peut pas concevoir, comme l’a fait le tribunal, qu’elle ait pu accepter l’éventualité de tuer sa voisine. Elle estime ce faisant qu’elle doit être libérée de l’accusation de tentative de meurtre par dol éventuel, seule celle de menace pouvant éventuellement entrer en ligne de compte. b) On constatera à titre préalable que l'art. 12 al. 2 CP reprend la définition du dessein de l'art. 18 al. 2 aCP, de telle sorte que les principes développés sous l'égide de l'ancien droit restent valables. D'après la jurisprudence, il y a dol éventuel lorsque l'auteur envisage le résultat délictueux ou dommageable, mais qu'il agit néanmoins, même s'il ne le souhaite pas, parce qu'il s'en accommode pour le cas où il se produirait (ATF 119 IV 193 c. 2b/cc, 1 c. 5a). Dans le domaine des infractions contre l'intégrité corporelle, le dol éventuel ne peut être déduit exclusivement du fait que l'atteinte physique constitue la conséquence adéquate du comportement imputé à l'auteur et que celui-ci connaissait ou devait connaître le risque de causer une telle lésion. En effet, celui qui se rend coupable de négligence consciente envisage aussi l'avènement du résultat dommageable; il se distingue de celui qui agit par dol éventuel du fait que, faisant preuve d'une imprévoyance coupable, il escompte que ce résultat, qu'il refuse, ne se produira pas. Or, pour qu'il y ait volonté au regard de l'art. 18 al. 2 aCP, il faut, mais il suffit, que le résultat ait été accepté pour le cas où il se produirait, sans pour autant que l'auteur ait agi de manière à en favoriser l'avènement (ATF 119 IV 1, c. 5a). Ce que l'auteur savait, voulait ou acceptait fait partie du contenu de la pensée et relève de l'établissement des faits (ATF 125 IV 242, précité, c. 3c; ATF 119 IV 1, c. 5a). Cet élément ne peut dès lors pas être remis en cause dans le cadre du recours en réforme. Toutefois, selon la jurisprudence du Tribunal fédéral, la question de savoir si les éléments extérieurs retenus en tant que révélateurs du contenu de la conscience et de la volonté autorisent à admettre que l'auteur a agi par dol éventuel relève du droit. Ainsi, lorsque le juge du fait a déduit l'élément subjectif du dol éventuel sur la base d'éléments extérieurs, faute d'aveux de l'auteur, les questions de fait et de droit interfèrent sur certains points. La Cour de cassation, comme le Tribunal fédéral, peut dès lors revoir, dans une certaine mesure, si ces éléments extérieurs ont été correctement appréciés au regard de la notion juridique du dol éventuel. En conséquence, le juge doit exposer ces éléments extérieurs le plus exhaustivement possible, afin que l'on puisse discerner ce qui l'a conduit à retenir que l'auteur a envisagé le résultat dommageable et s'en est accommodé (TF, T., 22 juillet 2005, 6S.69/2005, c. 7.4, et les réf. cit., ad Cass., 19 octobre 2004, n° 394; ATF 125 IV 242, précité, c. 3c). Parmi les éléments extérieurs permettant de décider si l'auteur a agi par dol éventuel ou par négligence consciente figurent notamment la probabilité (connue de l'auteur) de la réalisation du risque et l'importance de la violation du devoir de prudence. Plus celles-ci sont grandes, plus sera fondée la conclusion que l'auteur avait accepté l'éventualité de la réalisation du résultat dommageable et que, contrairement à ce qu'il prétend, il n'escomptait pas, faisant preuve d'une imprévoyance coupable, que le risque ne se réaliserait pas et que le résultat dommageable ne se produirait pas (ATF 125 IV 242, précité, c. 3c, et les réf. cit.). Peuvent également constituer des éléments extérieurs révélateurs les mobiles de l'auteur et la manière dont il a agi (TF, T., 22 juillet 2005, précité; ATF 125 IV 242, précité, c. 3c in fine). Au sujet plus particulièrement non de la conscience mais de la volonté, le Tribunal fédéral a précisé que cette dernière ne devait pas constituer un élément restrictif; la volonté existe lorsque le résultat du comportement de l'auteur s'est imposé à lui avec une telle vraisemblance qu'agir dans ces circonstances ne pouvait être raisonnablement interprété que comme une acceptation de ce résultat. Une constatation plus précise quant à la volonté n'est pas nécessaire pour admettre le dol éventuel (TF, L., 6 octobre 1986, ad CCASS, 18 novembre 1985, n° 340 et les réf. cit.). Le juge peut inférer la volonté de l'auteur de sa conscience lorsque la réalisation du danger s'imposait à l'auteur de manière tellement vraisemblable que sa disposition à accepter ce danger comme conséquence ne pouvait raisonnablement être interprétée que comme une acceptation du résultat. Parmi les circonstances extérieures qui permettent de conclure que l'auteur s'est accommodé de la réalisation de l'état de fait légal, la jurisprudence range notamment aussi l'importance du risque, connu de l'auteur, de réalisation de l'état de fait légal et l'intensité de la violation du devoir de prudence. Plus la réalisation de l'état de fait légal est vraisemblable et plus s'imposera la conclusion que l'auteur s'est en réalité accommodé de la réalisation de l'état de fait légal (ATF 130 IV 58, JT 2004 I 486, c. 8.4). c) En l’occurrence, il résulte clairement du jugement entrepris que la recourante savait ce qu’elle faisait, vu l’endroit du corps de la plaignante qu’elle a visé et le geste qu’elle a effectué, même si c’était dans une proportion résiduelle au vu de sa maladie. Il faut admettre en effet avec les premiers juges que rien ne permet de penser qu’en raison de sa maladie, l’accusée ignorait le fait de poignarder une personne au niveau du cou avec un grand couteau pointu était de nature à entraîner la mort. C’est à juste titre dans ces circonstances que le tribunal a considéré qu’I.________ avait à tout le moins agi par dol éventuel, ne serait-ce que dans la marge de responsabilité très modeste admise par l’expertise. Mal fondé, le moyen doit être rejeté. 3. Invoquant une violation de l’art. 47 CP, la recourante estime quoi qu’il en soit que la peine prononcée à son encontre est excessive dès lors qu’en tenant compte d’une responsabilité pleine et entière, celle-ci se serait élevée à six ans. Pour étayer ses dires, elle donne à cet égard l’exemple d’une condamnation à trente-six mois de peine privative de liberté pour un homme dont la conscience n’était pas altérée ayant planté un couteau dans le cœur de celui exploitant le commerce voisin. La recourante plaide le prononcé d’une peine pécuniaire.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Dupuis, Monnier, Moreillon et Piguet, Procédure pénale vaudoise, 3 ème éd. Bâle 2008, n. 1.4 ad art. 415 CPP et les réf. cit., p. 497; ATF 129 IV 6 c. 6.1; 128 IV 73 c. 3b; 127 IV 101 c. 2c; 123 IV 150 c. 2a; 122 IV 241 c. 1a; 118 IV 21 c. 2a; 116 IV 288 c. 2b).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accusés différents (ATF 120 IV 136 c. 3a; ATF 116 IV 292 précité). En effet, selon la jurisprudence constante du Tribunal fédéral, le principe de l'individualisation de la peine et le large pouvoir conféré par la loi au juge dans la fixation de celle-ci conduisent nécessairement à une certaine inégalité dont le législateur s'est accommodé. Les diverses pondérations entre les critères déterminants sont notamment la conséquence de la libre appréciation des preuves par le juge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2e éd., 2007, n. 159 ad art. 47 CP, pp. 876 s. et les réf. cit.; ATF 123 IV 150).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En outre,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b) En l'espèce, le tribunal a souligné le fait que l’accusée avait tenté de tuer sa voisine parce qu’elle estimait que cette dernière avait détruit sa vie et sa santé. La faute qu’elle lui imputait – soit d’avoir fait trop de bruit – était pourtant bénigne et totalement en disproportion avec l’agression terrifiante qu’elle lui avait fait subir. Les premiers juges ont précisé que si un tel acte méritait une sanction sévère, celle-ci devait être tempérée par le fait que l’accusée n’avait pas d’antécédents pénaux, d’une part, le fait qu’elle souffrait d’une maladie mentale, qui réduisait fortement sa responsabilité, d’autre part. (cf. jgt, p. 9). La lecture du jugement permet ainsi de constater que le tribunal a pris en compte l’ensemble des éléments à charge et à décharge pour fixer la peine, son appréciation échappant au grief d’arbitraire. Le meurtre est susceptible d’une peine minimale de cinq ans, qui peut être atténuée en raison de la tentative. Arrêtée à dix-huit mois dans le cas particulier, compte tenu de la forte diminution de la responsabilité de la recourante, la peine n’est nullement excessive au vu de l’ensemble des circonstances. L’exemple auquel se réfère la recourante n'est pas de nature à modifier cette appréciation. Le prononcé d’une peine pécuniaire, telle que la requiert la recourante, ne saurait au demeurant entrer en ligne de compte au vu de la gravité des faits litigieux. Mal fondé, le moyen doit être rejeté. 4. I.________ soutient enfin que les premiers juges ont violé l’art. 42 CP en refusant d’assortir du sursis la peine prononcée à son encontre.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Sous les anciennes dispositions générales du code pénal, il était de jurisprudence constante que l'octroi du sursis (art. 41 aCP) n'entrait pas en considération si une mesure de sûreté était ordonnée en application de l'art. 43 ou 44 aCP. La même règle valait également pour le traitement ambulatoire. Comme le prononcé d'une mesure supposait nécessairement l'existence d'un risque de récidive, il était en effet impossible d'appliquer l'art. 43 ou 44 CP et, en même temps, de poser un pronostic favorable permettant l'octroi du sursis (cf. Stefan Trechsel, Kurzkommentar, 2ème éd. 1997, n° 11 ad art. 41 aCP). Il en va toujours ainsi sous le nouveau droit (TF 6B_268/2008 ; ATF 135 IV 180). Si les conditions d'application de l'une ou l'autre des mesures prévues aux art. 56 ss CP sont remplies, le pronostic déterminant pour l'octroi du sursis est nécessairement négatif, puisque le prononcé de ces mesures suppose un risque de récidive (cf. art. 56 al. 1 let. a CP; Christian Schwarzenegger/Markus Hug/Daniel Jositsch, Strafrecht II, 8ème éd., 2007, p. 132 n° 2.21 § 6). En l'espèce, les conditions d'un traitement institutionnel au sens de l’art. 59 CP étant remplies – et son prononcé n’étant pas remis en cause par la recourante – celles du sursis, intégral ou partiel, ne le sont pas, vu le risque de récidive existant (cf. jgt, pp. 5 et 9). Le moyen pris d'une violation de l’art. 42 CP ne peut dès lors qu’être rejeté. III. En définitive, aucun des moyens invoqués par la recourante n’est retenu. Son recours ne peut dès lors qu’être rejeté en application de l’art. 431 al. 2 CPP et le jugement confirmé. Les frais de deuxième instance, y compris l’indemnité allouée à son défenseur d’office par 860 fr. 80 TVA comprise, seront supportés par I.________, conformément à l’art. 450 al. 1 CPP. Le remboursement à l’Etat de cette indemnité ne sera exigible que pour autant que la situation économique de l’intéressée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