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336 vom 21. Juni 2010</w:t>
      </w:r>
    </w:p>
    <w:p>
      <w:r>
        <w:t>VD Tribunal cantonal, 2010-06-21, FR</w:t>
      </w:r>
    </w:p>
    <w:p>
      <w:r>
        <w:rPr>
          <w:b/>
        </w:rPr>
        <w:t xml:space="preserve">Quelle: </w:t>
      </w:r>
      <w:r>
        <w:t>https://mcp.opencaselaw.ch/entscheid/vd_findinfo_HC___2010___336</w:t>
      </w:r>
    </w:p>
    <w:p>
      <w:r>
        <w:t>FR: VD_FINDINFO HC / 2010 / 336 du 21 juin 2010</w:t>
      </w:r>
    </w:p>
    <w:p>
      <w:r>
        <w:t>IT: VD_FINDINFO HC / 2010 / 336 del 21 giugno 2010</w:t>
      </w:r>
    </w:p>
    <w:p>
      <w:pPr>
        <w:pStyle w:val="Heading2"/>
      </w:pPr>
      <w:r>
        <w:t>Regeste</w:t>
      </w:r>
    </w:p>
    <w:p>
      <w:r>
        <w:t>CAPACITÉ D'ESTER EN JUSTICE, CAPACITÉ PARTIELLE D'EXERCER LES DROITS CIVILS | 444 al. 1 ch. 2 CPC, 29 LPEBL, 4 al. 2 LPEBL, 9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1er). En l'espèce, déposé en temps utile, le recours est recevable.</w:t>
      </w:r>
    </w:p>
    <w:p>
      <w:r>
        <w:rPr>
          <w:b/>
        </w:rPr>
        <w:t>E. 2</w:t>
      </w:r>
    </w:p>
    <w:p>
      <w:r>
        <w:t>a) La partie recourante peut produire les pièces de nature à établir ses moyens de nullité (art. 25 al. 1 deuxième phrase LPEBL). En revanche, cette possibilité est refusée à la partie intimée, si bien que les pièces produites par cette dernière devant la cour de céans doivent être retranchées du dossier. b)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attaquée est conforme aux pièces du dossier.</w:t>
      </w:r>
    </w:p>
    <w:p>
      <w:r>
        <w:rPr>
          <w:b/>
        </w:rPr>
        <w:t>E. 3</w:t>
      </w:r>
    </w:p>
    <w:p>
      <w:r>
        <w:t>a) Le recourant, qui est sous tutelle, se plaint de ce que son tuteur n’a pas été convoqué à l’audience du juge de paix et invoque une assignation irrégulière au sens de l’art. 444 al. 1 ch. 2 CPC. Le moyen de nullité prévu par cette disposition n’appartient cependant qu’à la partie défaillante (Poudret/Haldy/Tappy, Procédure civile vaudoise, 3 ème éd., 2002, n. 7 ad art. 444 CPC), alors que le recourant était présent à cette audience. Ce moyen doit donc être rejeté. b) Le recourant invoque encore l’art. 62 al. 2 CPC, qui concerne la capacité d’ester en justice et prévoit que les incapables agissent avec le concours de leur représentant légal. Il fait ainsi implicitement valoir que son tuteur devait nécessairement participer à la procédure d’expulsion, ce qui impliquait qu’une fois déposée la requête d’expulsion, ce tuteur soit convoqué à l’audience conformément à l’art. 9 LPEBL, ce qui n’a pas été le cas. Selon l’art. 20 al. 1 CPC, applicable par renvoi de l’art. 4 al. 2 LPEBL, les actes judiciaires sont adressés à la partie ou à son représentant légal ou encore à l’un et à l’autre, selon ce que prescrit la loi civile. La notification au représentant légal est une règle essentielle de la procédure, dont l’inobservation justifie l’invalidation de l’instance (Poudret/Haldy/Tappy, op. cit., n. 2 ad art. 20 CPC, p. 48). Les règles sur la représentation légale ne sont cependant pas applicables aux interdits qui sont autorisés à exercer une profession conformément à l’art. 412 CC (Poudret/Haldy/Tappy, ibidem). La convocation à l’audience du juge de paix aurait dès lors dû être adressée au tuteur du recourant, à moins que celui-ci ait été autorisé à exercer une activité de garagiste indépendant. Dans cette dernière hypothèse, le recourant aurait été apte à conclure un contrat de bail commercial et aurait pu accomplir des actes de procédure (Meier, Le consentement des autorités de tutelle aux actes du tuteur, 1994, p. 95 et les références citées). L’autorisation d’exercer une profession ou une industrie, qui peut être octroyée en vertu de l’art. 412 CC, correspond en effet à une émancipation partielle du pupille et prive le tuteur de son pouvoir légal de représentation dans cette mesure (Meier, op. cit., p. 94 et les références citées). Une telle autorisation, même si elle peut être tacite (Basler Kommentar, n. 7 ad art. 412 CC), ne ressort cependant d’aucune des pièces du dossier. Il n'est dès lors pas établi que l'activité du recourant s'inscrit dans le cadre d'une activité autorisée (art. 412 CC). En conséquence, le recourant n’était pas habile à participer seul à la procédure d’expulsion. Son tuteur aurait dû être interpellé, se voir réclamer une autorisation de plaider au sens de l’art. 421 ch. 8 CC, puis être assigné à l’audience. En s’abstenant de telles démarches et en convoquant le recourant lui-même, le premier juge n’a pas effectué une assignation régulière au sens de l’art. 23 al. 1 let. c LPEBL, ce qui conduit à la nullité de son ordonnance. Peu importe que cette irrégularité ait été ou non de nature à influer sur le prononcé. Il n'y a dès lors pas lieu d'examiner les moyens de réforme.</w:t>
      </w:r>
    </w:p>
    <w:p>
      <w:r>
        <w:rPr>
          <w:b/>
        </w:rPr>
        <w:t>E. 4</w:t>
      </w:r>
    </w:p>
    <w:p>
      <w:r>
        <w:t>En définitive, le recours doit être admis, l'ordonnance annulée et la cause renvoyée au Juge de paix des districts de Lausanne et de l'Ouest lausannois pour statuer à nouveau après avoir fait participer le tuteur du recourant à la procédure. Le recourant n’est pas responsable de ce que son tuteur, dont l’existence ressortait de la pièce 8 produite avec la requête d’expulsion, n’a pas été appelé à participer à la procédure, de sorte qu'il convient de rendre le présent arrêt sans frais. L'intimée doit payer au recourant la somme de 800 fr. à titre de dépens de deuxième instance. Par ces motifs, la Chambre des recours du Tribunal cantonal, statuant à huis clos, prononce : I. Le recours est admis. II. L'ordonnance est annulée, la cause étant renvoyée au Juge de paix des districts de Lausanne et de l'Ouest lausannois pour statuer à nouveau après avoir fait participer le tuteur du recourant à la procédure. III. L'arrêt est rendu sans frais. IV. L'intimée P.________ SA doit verser au recourant L.________ la somme de 800 fr. (huit cents francs) à titre de dépens de deuxième instance. V. L'arrêt motivé est exécutoire. Le président :               Le greffier : Du 21 juin 2010 Le dispositif de l'arrêt qui précède est communiqué par écrit aux intéressés. Le greffier : Du L'arrêt qui précède, dont la rédaction a été approuvée à huis clos, est notifié à : ‑ Me Philippe Liechti (pour L.________), ‑ M. Christophe Savoy, aab (pour P.________ SA). La Chambre des recours considère que la valeur litigieuse est de 13'230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