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326 vom 9. Juni 2010</w:t>
      </w:r>
    </w:p>
    <w:p>
      <w:r>
        <w:t>VD Tribunal cantonal, 2010-06-09, FR</w:t>
      </w:r>
    </w:p>
    <w:p>
      <w:r>
        <w:rPr>
          <w:b/>
        </w:rPr>
        <w:t xml:space="preserve">Quelle: </w:t>
      </w:r>
      <w:r>
        <w:t>https://mcp.opencaselaw.ch/entscheid/vd_findinfo_HC___2010___326</w:t>
      </w:r>
    </w:p>
    <w:p>
      <w:r>
        <w:t>FR: VD_FINDINFO HC / 2010 / 326 du 9 juin 2010</w:t>
      </w:r>
    </w:p>
    <w:p>
      <w:r>
        <w:t>IT: VD_FINDINFO HC / 2010 / 326 del 9 giugno 2010</w:t>
      </w:r>
    </w:p>
    <w:p>
      <w:pPr>
        <w:pStyle w:val="Heading2"/>
      </w:pPr>
      <w:r>
        <w:t>Regeste</w:t>
      </w:r>
    </w:p>
    <w:p>
      <w:r>
        <w:t>LÉGITIMATION ACTIVE ET PASSIVE, CAPACITÉ D'ÊTRE PARTIE, BAIL À LOYER, RÉSILIATION IMMÉDIATE, DEMEURE DU DÉBITEUR, LOGEMENT DE LA FAMILLE, NULLITÉ | 169 CC, 257d CO, 266n CO, 266o CO, 274g al. 1 let. a CO, 23 al. 2 LPEBL</w:t>
      </w:r>
    </w:p>
    <w:p>
      <w:pPr>
        <w:pStyle w:val="Heading2"/>
      </w:pPr>
      <w:r>
        <w:t>Erwägungen</w:t>
      </w:r>
    </w:p>
    <w:p>
      <w:r>
        <w:rPr>
          <w:b/>
        </w:rPr>
        <w:t>E. 1</w:t>
      </w:r>
    </w:p>
    <w:p>
      <w:r>
        <w:t>a) L’art. 23 al. 1 LPEBL (loi du 18 mai 1955 sur la procédure d’expulsion en matière de baux à loyer et à ferme; RSV 221.305) ouvre un recours en nullité au Tribunal cantonal lorsque le juge était incompétent ou s’est déclaré à tort incompétent (let. a), pour absence d’assignation régulière (let. b) ou pour violation des règles essentielles de la procédure lorsque l’informalité est de nature à influer sur le prononcé (let. c). Selon l'al. 2 de cette disposition, il y a également recours au Tribunal cantonal pour déni de justice. Celui-ci peut aboutir soit à la réforme soit à l’annulation de la décision attaquée (JT 2004 III 43 c. 1a et les références jurisprudentielles citées). b) Conformément à l'art. 24 al. 1 LPEBL, le recours s'exerce dans les dix jours dès la notification du prononcé. En l'occurrence, le recours a été déposé en temps utile. L'acte de recours indique expressément que le recours est adressé par A.I.________ et son épouse B.I.________, qui déclarent agir également pour leurs trois enfants. Il est cependant signé par A.I.________ seul. Implicites, les conclusions du recours tendent à ce que l’expulsion ne soit pas ordonnée. Par ailleurs, le recourant n’invoque aucun grief pouvant s’apparenter à un moyen de nullité. Le recours est ainsi formellement recevable. c) Les pièces nouvelles produites par le recourant n’étant pas destinées à établir une irrégularité soulevée à l’appui d’un moyen de nullité, elles doivent être écartées (cf. Guignard in Ducret et alii, Procédures spéciales vaudoises, Lausanne 2008, n. 1 ad art. 25 LPEBL et les références citées, p. 214). Il en va de même des pièces nouvelles produites par l’intimée.</w:t>
      </w:r>
    </w:p>
    <w:p>
      <w:r>
        <w:rPr>
          <w:b/>
        </w:rPr>
        <w:t>E. 2</w:t>
      </w:r>
    </w:p>
    <w:p>
      <w:r>
        <w:t>En vertu de l’art. 274g al. 1 let. a CO,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fédérai (ATF 119 II 141 c. 4a; 119 II 241 c. 4b et c).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2008 III 12; 2004 III 79). En l’espèce, le recourant n’a pas saisi préalablement la Commission de conciliation compétente pour contester la validité du congé, de sorte que le présent recours doit être examiné sous l’angle restreint de l’arbitraire (cf. Guignard, op. cit., n. 3 ad art. 23 LPEBL, pp. 210 ss; Poudret/Haldy/Tappy, Procédure civile vaudoise, 3 ème éd., Lausanne 2002, n. 5 ad art. 356 CPC et les réf. citées, pp. 537 s.; ATF 132 III 209 c. 2.1).</w:t>
      </w:r>
    </w:p>
    <w:p>
      <w:r>
        <w:rPr>
          <w:b/>
        </w:rPr>
        <w:t>E. 3</w:t>
      </w:r>
    </w:p>
    <w:p>
      <w:r>
        <w:t>En premier lieu, il convient d'examiner si la requérante à l'expulsion dispose de la légitimation active dans la procédure ouverte devant le juge de paix. A cet égard, il y a lieu de relever que le nom de la partie bailleresse figurant sur le contrat de bail, à savoir R.________, ne correspond à aucune personne physique ou morale. Bien plus, interpellée à ce sujet, l’intimée a précisé, dans son mémoire, les noms des propriétaires de l’immeuble abritant l'objet du bail litigieux, à savoir pas moins de quatre personnes physiques et trois hoiries. La requérante R.________ n’ayant pas établi avoir une existence juridique propre au sens du droit suisse, la capacité d’être partie ne saurait lui être reconnue; il en va de même, a fortiori, de la légitimation active, ce que le juge doit relever d’office (cf. Poudret/Haldy/Tappy, op. cit., n. 1 ad art. 62 CPC et les références citées, p. 115). Cela étant, cette irrégularité constitue un premier motif d’admission du recours.</w:t>
      </w:r>
    </w:p>
    <w:p>
      <w:r>
        <w:rPr>
          <w:b/>
        </w:rPr>
        <w:t>E. 4</w:t>
      </w:r>
    </w:p>
    <w:p>
      <w:r>
        <w:t>L'admission du recours se justifie également pour une deuxième raison, qui tient à la présence, dans les locaux loués, d'une famille de cinq personnes. Ainsi, le bail porte bien sur un logement de famille, au sens de l’art. 169 CC (Code civil suisse du 10 décembre 1907; RS 210), quand bien même il a été conclu avec le seul A.I.________ (cf. Lachat, Le bail à loyer, Lausanne 2008, p. 121). Or, selon l’art. 266n CO, le congé donné par le bailleur ainsi que la fixation d’un délai de paiement assorti d’une menace de résiliation, au sens de l’art. 257d CO, doivent être communiqués séparément au locataire et à son conjoint, c’est-à-dire sous deux plis distincts (cf. Lachat, op. cit., p. 632 et p. 666). Aux termes de l’art. 266o CO, le congé qui ne satisfait pas à la condition qui précède est nul, nullité qui doit être constatée d’office par le juge (cf. Lachat, op. cit., p. 628 et p. 633; cf. également Guignard, op. cit., n. 2 ad art. 14 LPEBL, pp. 189 s.). L’application des règles protectrices de la famille qui précèdent implique cependant que le bailleur connaisse l’état civil du locataire (cf. Lachat, op. cit., p. 634). En l’occurrence, il n’a pu échapper à l’intimée que l’appartement loué servait à héberger la famille du recourant. Non seulement l’indication du nombre d’occupants figure expressément sur le contrat de bail, mais l’intimée fait elle-même référence, dans son mémoire, à la procédure d’autorisation de séjour actuellement pendante dont le recourant et sa famille font l'objet, plus particulièrement aux décisions de l’Etablissement vaudois d’accueil aux migrants (EVAM) concernant le paiement des loyers, en produisant un courriel du responsable d’Yverdon traitant de la santé et du maintien de la famille dans son logement actuel. Dès lors, il appartenait à l’intimée d’aviser l’épouse du recourant, par pli séparé, tant du délai comminatoire que de la résiliation du bail. Les courriers des 8 juillet et 25 novembre 2009 adressés par la régie au seul recourant ne satisfont pas à cette exigence. Partant, la résiliation du bail signifiée au recourant est nulle, ce qu'il y a lieu de constater d’office.</w:t>
      </w:r>
    </w:p>
    <w:p>
      <w:r>
        <w:rPr>
          <w:b/>
        </w:rPr>
        <w:t>E. 5</w:t>
      </w:r>
    </w:p>
    <w:p>
      <w:r>
        <w:t>Vu ce qui précède, il n’est pas nécessaire d’examiner si le congé devrait également être considéré comme inefficace du fait que l’avis comminatoire du</w:t>
      </w:r>
    </w:p>
    <w:p>
      <w:r>
        <w:rPr>
          <w:b/>
        </w:rPr>
        <w:t>E. 8</w:t>
      </w:r>
    </w:p>
    <w:p>
      <w:r>
        <w:t>juillet 2009 porte sur un montant disproportionné par rapport au loyer effectivement dû. En effet, la mise en demeure porte sur un arriéré de loyer de 4’250 fr. (et même de 5’120 fr., si l’on ajoute comme le fait l’intimée par anticipation le loyer du mois d’août 2009) alors que les quatre mois échus, soit d’avril à juillet 2009, totalisent 3’480 fr. (4 x 870 fr.). En particulier, le loyer de 570 fr. pour le " studio de juillet 2007 " ne résulte d’aucune pièce produite par la requérante et les frais de rappel n’ont pas à être pris en compte dans l’avis (cf. Lachat, op. cit., p. 664). 6. En définitive, le recours doit être admis et l’ordonnance réformée en ce sens que la requête d’expulsion est rejetée. Les frais de deuxième instance du recourant sont arrêtés à 350 francs (art. 230 al. 1 TFJC [tarif du 4 décembre 1984 des frais judiciaires en matière civile; RSV 270.11.5]). Obtenant gain de cause, le recourant a droit à des dépens de deuxième instance de même montant, à la charge des intimés [...] et [...], [...], de chacun des membres des hoiries [...], [...] et [...], ainsi que de [...], débiteurs solidaires (art. 91 et 92 CPC). Par ces motifs, la Chambre des recours du Tribunal cantonal, statuant à huis clos, prononce : I. Le recours est admis. II. L'ordonnance est réformée aux chiffres I, II et IV de son dispositif en ce sens que : I.               La requête est rejetée. II. et IV. Supprimés. L'ordonnance est confirmée pour le surplus. III. Les frais de deuxième instance du recourant sont arrêtés à 350 fr. (trois cent cinquante francs). IV. Les intimés [...] et [...], [...], chacun des membres des hoiries [...], [...] et [...], ainsi que [...], débiteurs solidaires, doivent verser au recourant A.I.________ le montant de 350 fr. (trois cent cinquante francs) à titre de dépens de deuxième instance. V. L'arrêt motivé est exécutoire. Le président :               Le greffier : Du</w:t>
      </w:r>
    </w:p>
    <w:p>
      <w:r>
        <w:rPr>
          <w:b/>
        </w:rPr>
        <w:t>E. 9</w:t>
      </w:r>
    </w:p>
    <w:p>
      <w:r>
        <w:t>juin 2010 Le dispositif de l'arrêt qui précède est communiqué par écrit aux intéressés. Le greffier : Du L'arrêt qui précède, dont la rédaction a été approuvée à huis clos, est notifié à : ‑ A.I.________, ‑ Régie T.________ SA (pour R.________).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