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304 vom 25. März 2010</w:t>
      </w:r>
    </w:p>
    <w:p>
      <w:r>
        <w:t>VD Tribunal cantonal, 2010-03-25, FR</w:t>
      </w:r>
    </w:p>
    <w:p>
      <w:r>
        <w:rPr>
          <w:b/>
        </w:rPr>
        <w:t xml:space="preserve">Quelle: </w:t>
      </w:r>
      <w:r>
        <w:t>https://mcp.opencaselaw.ch/entscheid/vd_findinfo_HC___2010___304</w:t>
      </w:r>
    </w:p>
    <w:p>
      <w:r>
        <w:t>FR: VD_FINDINFO HC / 2010 / 304 du 25 mars 2010</w:t>
      </w:r>
    </w:p>
    <w:p>
      <w:r>
        <w:t>IT: VD_FINDINFO HC / 2010 / 304 del 25 marzo 2010</w:t>
      </w:r>
    </w:p>
    <w:p>
      <w:pPr>
        <w:pStyle w:val="Heading2"/>
      </w:pPr>
      <w:r>
        <w:t>Regeste</w:t>
      </w:r>
    </w:p>
    <w:p>
      <w:r>
        <w:t>PRÉSOMPTION D'INNOCENCE, BRIGANDAGE, AGRESSION, RIXE | 47 CO, 134 CP, 140 CP, 46 al. 1 CP, 46 al. 2 CP, 411 let. g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w:t>
      </w:r>
    </w:p>
    <w:p>
      <w:r>
        <w:rPr>
          <w:b/>
        </w:rPr>
        <w:t>E. 2</w:t>
      </w:r>
    </w:p>
    <w:p>
      <w:r>
        <w:t>Se prévalant de la présomption d'innocence, le recourant soutient d'abord que les premiers juges ont versé dans l'arbitraire en retenant que le plaignant L.________ avait été victime d'un véritable "passage à tabac", que seuls deux coauteurs pouvaient être à l'origine d'une telle agression et que l'accusé avait participé à celle-ci en assénant des coups au plaignant. a) 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Consacrée par les art. 32 al. 1 Cst. et 6 par. 2 CEDH, la présomption d'innocence et le principe in dubio pro reo , qui en est le corollaire, sont des garanties de rang constitutionnel (ATF 120 Ia 31, c. 2b p. 35 s. et 2e p. 38), dont la violation peut être invoquée par la voie du recours en matière pénale (art. 95 let. a LTF). Elles concernent tant le fardeau de la preuve que l'appréciation des preuves (arrêt précité, c.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 c. 2a p. 88; 120 Ia 31 précité, c. 2c p. 37). Le juge du fait dispose d'un pouvoir d'appréciation étendu dans l'appréciation des preuves (arrêt précité, c. 2e p. 38; TF 6B_143/2007 du 25 juin 2007).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oeuvre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 92, n. ss, spéc. n. 1918 s., p. 403; Corboz, op. cit., pp. 422 s.; Arzt, In dubio pro reo vor Bundesgericht, in RJB 1993, pp. 1 ss, spéc. p. 21, n. 5). Toujours comme règle d’appréciation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op. cit., pp. 415 à 420). b) En l'espèce, les constatations médicales, interprétées par le tribunal correctionnel, démontrent que la victime n'était pas tombée par terre sous l'effet d'un simple coup de poing ou de pied, mais qu'elle avait été victime d'un véritable "passage à tabac", puisque des lésions avaient été constatées des deux côtés de la boîte crânienne. Dès lors, toujours d'après le tribunal, seuls deux co-auteurs pouvaient être à l'origine d'une telle agression. Cette appréciation concorde parfaitement avec le status tant somatique que psychiatrique de la victime, dont la plaie à la tête avait dû être suturée de dix points et qui souffre encore d'une anxiété généralisée et de violentes attaques de panique. En présence de tels éléments de fait, précisément établis et décrits, et sachant que le recourant était seul présent sur les lieux en compagnie de son comparse, c'est ainsi sans arbitraire aucun que les premiers juges ont écarté les dénégations de l'accusé. En particulier, le moyen du recourant selon lequel il se serait limité à dérober l'iPod de la victime est ainsi infirmé tant par le nombre que par la nature et la gravité des blessures infligées, qui ne pouvaient qu'être le fait de deux agresseurs. Au surplus, le recourant se limite à opposer sa version des faits à celle des premiers juges, sans étayer en quoi celle-ci aurait été établie au mépris de la présomption d'innocence en tant que règle relative à l'appréciation des preuves. Dans cette mesure, son argumentation est appellatoire et doit, partant, être écartée.</w:t>
      </w:r>
    </w:p>
    <w:p>
      <w:r>
        <w:rPr>
          <w:b/>
        </w:rPr>
        <w:t>E. 3</w:t>
      </w:r>
    </w:p>
    <w:p>
      <w:r>
        <w:t>Le recourant se prévaut ensuite de la présomption d'innocence en tant que règle relative au fardeau de la preuve. L'avis des premiers juges se fonde sur le certificat médical produit par le plaignant et sur l'absence de crédibilité des accusés. En présence de tels indices, on ne saurait reprocher aux premiers juges de ne pas avoir eu de doutes en faveur de l'accusé. De même, la précision de l'avis médical rendait superflue toute mesure d'investigation complémentaire, s'agissant en particulier d'une expertise. Le recourant ne prétend d'ailleurs pas avoir requis un tel procédé à un moment ou à un autre de la procédure. Les faits ont donc correctement été retenus à charge.</w:t>
      </w:r>
    </w:p>
    <w:p>
      <w:r>
        <w:rPr>
          <w:b/>
        </w:rPr>
        <w:t>E. 4</w:t>
      </w:r>
    </w:p>
    <w:p>
      <w:r>
        <w:t>Excipant d'un défaut de motivation en droit constitutif de la violation d'une règle essentielle de procédure au sens de l'art. 411 let. g CPP, le recourant fait ensuite grief aux premiers juges de ne pas avoir exposé pour quels motifs ils l'avaient condamné pour lésions corporelles simples au préjudice de [...]. Il est exact que, si le tribunal correctionnel a dûment motivé la condamnation pour agression, infraction réprimée par l'art. 134 CP, il n'a pas expressément examiné les éléments constitutifs des lésions corporelles simples, infraction réprimée par l'art. 123 CP. Une telle lacune constitue cependant un moyen de réforme, et non de nullité (cf. Bersier, op. cit., ch. 35, pp. 88-89). Or, le recourant n'a pas pris de conclusion en réforme tendant à ce qu'il soit libéré du chef d'accusation de lésions corporelles simples. Cela étant, il résulte de l'état de fait que le recourant avait frappé la victime de ses poings et lui avait en particulier donné un coup au visage. La victime a eu notamment l'arcade sourcilière gauche ouverte des suites de ce coup. Cette atteinte est constitutive de lésions corporelles simples, sachant qu'elle excède la gravité des voies de fait notamment par l'importance du traitement médical qui avait dû être prodigué. L'accusé était renvoyé pour cette infraction-là, ainsi que pour agression. Ces deux infractions sont en concours au sens de l'art. 49 al. 1 CP. En effet, la mise en danger de la victime a dépassé en intensité le résultat intervenu (cf. ATF 135 IV 152, spéc. c. 2.1.2 in fine p. 154). C'est dès lors à juste titre que les premiers juges ont retenu les lésions corporelles simples en sus de l'agression. Le recours en nullité doit donc être rejeté.</w:t>
      </w:r>
    </w:p>
    <w:p>
      <w:r>
        <w:rPr>
          <w:b/>
        </w:rPr>
        <w:t>E. 6</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7</w:t>
      </w:r>
    </w:p>
    <w:p>
      <w:r>
        <w:t>Le recourant conteste d'abord s'être rendu coupable de brigandage au préjudice de L.________. Il fait valoir qu'il n'avait pas voulu se livrer à des violences sur la victime pour la détrousser, mais qu'il s'était limité à lui subtiliser son iPod après avoir vu l'appareil tomber une fois son propriétaire jeté à terre par le premier coup asséné par P.________. Le brigandage est réprimé par l'art. 140 CP. Cette argumentation tend à mettre en cause l'état de fait du jugement, ce que le recourant ne peut faire dans un recours en réforme. Bien plutôt, d'abord, la soustraction d'une chose mobilière au moins appartenant à la victime est établie, et du reste admise par le recourant. Ensuite, l'utilisation de la violence à cette fin résulte des faits retenus. Enfin, le rapport de causalité entre l'une et l'autre découle également des faits de la cause. En effet, ce n'est qu'une fois la victime à terre, voire même déjà inconsciente, donc hors d'état de résister, qu'elle a été dépouillée de son iPod. Les éléments constitutifs du brigandage sont donc réunis.</w:t>
      </w:r>
    </w:p>
    <w:p>
      <w:r>
        <w:rPr>
          <w:b/>
        </w:rPr>
        <w:t>E. 8</w:t>
      </w:r>
    </w:p>
    <w:p>
      <w:r>
        <w:t>Le recourant conteste ensuite, dans son principe, l'indemnité pour tort moral allouée au plaignant à hauteur de 5'000 fr. a) Aux termes de l'art. 47 CO, le juge peut, en tenant compte de circonstances particulières, allouer à la victime de lésions corporelles une indemnité équitable à titre de réparation morale. La réparation du tort moral s'insère dans le système général de la responsabilité civile (art. 41 ss CO). Elle suppose dès lors, outre l'existence d'un tort moral, un acte illicite, un rapport de causalité adéquate entre cet acte et l'atteinte, ainsi qu'une faute (Deschenaux et Tercier, La responsabilité civile, 2 ème éd., Berne 1982, p. 92, n. 18 à 20).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op. cit., p. 93, n. 24 s.; Tercier, op. cit., p. 267, n. 2029, et pp. 270 ss, n. 2047 ss; du même auteur, La réparation du tort moral : crise ou évolution ?, in Mélanges Deschenaux, Fribourg 1977, pp. 307 ss, spéc. p. 313, ch. 3).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 ème éd., Zurich 1996, I/66 a, ch. 7.5.2).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Le montant de cette indemnité doit être fixé de manière équitable; il ne doit notamment pas apparaître dérisoire à la victime (ATF 118 II 410, précité). La gravité de la faute (art. 43 al. 1 er CO) et les facteurs de réduction prévus à l'art. 44 CO doivent également être pris en considération (Deschenaux/Tercier, op. cit., pp. 242 ss).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b) En l'espèce, les conclusions du recourant en matière civile procèdent des mêmes motifs que celles déduites d'une fausse application de l'art. 140 CP, à savoir qu'il "n'(avait) pas participé, ni ne s'(était) associé, d'une manière ou d'une autre, à l'agression physique de L.________". Ces motifs ont été réfutés au considérant 7 ci-dessus, auquel il suffit de renvoyer. La nature et les conséquences de l'agression contre la victime, s'agissant spécialement de sa soudaineté, de son caractère gratuit, ainsi que de la gravité des lésions corporelles infligées et de la durée de l'incapacité de travail qui s'ensuivit, justifient l'octroi d'une réparation morale. Quant à la quotité de la réparation, il doit être relevé d'office que le montant alloué ne procède à l'évidence pas d'un abus ou d'un excès de leur pouvoir d'appréciation par les premiers juges. Il apparaît bien plutôt adéquat au regard des souffrances du plaignant, qui a sombré dans l'inconscience du fait de l'agression, et des séquelles que celui-ci conserve encore de l'acte illicite.</w:t>
      </w:r>
    </w:p>
    <w:p>
      <w:r>
        <w:rPr>
          <w:b/>
        </w:rPr>
        <w:t>E. 9</w:t>
      </w:r>
    </w:p>
    <w:p>
      <w:r>
        <w:t>Le recourant conteste ensuite s'être rendu coupable d'agression au préjudice de [...]. Comme il l'avait fait plaider à l'audience, il soutient s'être limité à prendre part à une rixe, faisant grief aux premiers juges d'avoir retenu qu'il s'était livré à une attaque unilatérale contre la victime. a) L'agression, infraction réprimée par l'art. 134 CP, se caractérise comme un assaut physique ou la menace brutale d'une arme; c'est un acte de violence à l'encontre de l'intégrité corpo­relle d'autrui, motivé par des intentions hostiles. A la différence de la rixe, infraction réprimée par l'art. 133 CP, l'agression se caractérise comme une attaque unilatérale. Tel est le cas lorsque la ou les personnes agressées n'ont pas eu elles-mêmes, au moment de l'atta­que, une attitude agressive, impliquant que le déclenchement de la bagarre, en définitive, dépendait surtout du hasard. Le simple fait de se joindre à l'agression entreprise par autrui suffit à réaliser le comportement punissable. A cet égard, si l'infraction est intentionnelle, il n'est pas nécessaire que l'auteur veuille ou accepte qu'une personne soit tuée ou blessée (cf. Corboz, Les infractions en droit suisse I, ad art. 134, pp. 198 ss). b) Il est constant en l'espèce qu'un comparse de l'accusé, déféré séparément, a, sans raison particulière, surgi derrière [...] et l'a frappé au moyen d'une bouteille. La victime a saisi son agresseur par le cou. L'accusé a alors frappé la victime de ses poings et lui a en particulier donné un coup au visage. Il ressort de ces faits que la victime a été agressée, par le comparse d'abord et par l'accusé ensuite, ce de manière gratuite. En particulier, elle n'a pas eu une réaction offensive en saisissant son agresseur par le coup lorsqu'elle était frappée à coups de bouteille. Bien plutôt, il s'agissait d'un pur geste d'auto-protection. Au vrai, admettre la rixe en pareil cas reviendrait à interdire à la victime d'une agression de tenter de se protéger, soit de repousser l'attaque dont elle est l'objet, sauf à se rendre elle-même coupable de participation à une rixe, ce qui serait contraire à la lettre de l'art. 133 al. 2 CP. Le coup de poing asséné par le recourant à la victime ne pouvait en outre tendre à séparer les antagonistes au sens déduit de l'art. 133 al. 2 CP, vu le caractère gratuit, brutal et totalement disproportionné de l'acte incriminé, perpétré à l'égard de la victime de l'attaque initiale. Il aurait en effet suffi au recourant, si telle avait été son intention, de s'intercaler physiquement entre les intéressés pour les séparer. Les éléments constitutifs de la rixe ne sont dès lors pas réalisés. Bien plutôt, le fait, pour le recourant, d'avoir, unilatéralement et en compagnie d'un comparse, asséné sans raison un coup de poing au visage du plaignant jusqu'à lui infliger une lésion corporelle relève d'une agression au sens de l'art. 134 CP.</w:t>
      </w:r>
    </w:p>
    <w:p>
      <w:r>
        <w:rPr>
          <w:b/>
        </w:rPr>
        <w:t>E. 10</w:t>
      </w:r>
    </w:p>
    <w:p>
      <w:r>
        <w:t>Excipant d'une fausse application de l'art. 46 CP, le recourant conteste ensuite la révocation des sursis. a)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l’article 49 CP. Il ne peut toutefois prononcer une peine privative de liberté ferme que si la peine d’ensemble atteint une durée de six mois au moins ou si les conditions prévues à l’article 41 CP sont remplies.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b)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Kuhn/Moreillon/Viredaz/Bichovsky, Berne 2006, p. 230). Ainsi que l'a relevé la cour de céans dans un arrêt du 7 février 2007 (n° 86), confirmé par le Tribunal fédéral par son arrêt du 30 août 2007 déjà mentionné (6B_296/2007), la nouvelle réglementation de la révocation se fonde sur les considérations suivantes : la suspension de la peine devrait être révoquée chaque fois que, pour une raison quelconque, le pronostic relatif aux chances de succès de la mise à l'épreuve du condamné se détériore, durant le délai d'épreuve, et ce, à un point tel que l'exécution de la peine paraît être désormais la sanction la plus efficace (cf. FF 1999 II 1861). La commission d'une nouvelle infraction n'est pas en soi un motif de révocation; seule une réduction sensible des perspectives de succès de la mise à l'épreuve que laisse entrevoir la nouvelle infraction peut justifier la révocation (justification qui n'est cependant pas absolue en cas de récidive unique ou de délit purement occasionnel) (FF1999 II p. 1862). Un comportement de nature à décevoir la confiance placée dans le condamné ne constitue plus un motif de révocation systématique. Un tel comportement peut néanmoins entraîner la révocation s'il est lié au fait que le condamné se soustrait à l'assistance de probation ou s'il enfreint des règles de conduite, et qu'il dénote en outre un sérieux risque que le condamné commette d'autres crimes ou délits (FF 1999 II 1862-1863). Le pronostic est le seul critère pertinent, tant pour l'octroi que pour la révocation du sursis à l'exécution de la peine. Il ne peut en aucun cas porter sur tout le comportement futur du condamné. Tout au plus peut-il fournir une indication sur la manière dont l'auteur réagira à l'avenir s'il est confronté à une situation identique ou semblable. Une nouvelle infraction dénote un risque de récidive au regard de l'infraction antérieure lorsque toutes deux peuvent être considérées comme des réactions typiques de l'auteur face au même problème. Cela n'implique toutefois pas qu'il doive s'agir du même genre d'infractions (FF 1999 II 1863). c) En l’espèce, il est constant que le recourant a commis de nouvelles infractions, soit des délits, durant le délai d'épreuve de la première des deux condamnations avec sursis antérieures déjà. Les premiers juges ont considéré que les conditions posées à la révocation des sursis étaient réalisées, vu que, malgré les deux premières condamnations prononcées à son encontre, l'accusé, loin de s'amender, avait persisté dans la délinquance, à telle enseigne que de nouveaux actes de violence, notamment, sont fortement à craindre de sa part. Cette motivation est en tous points adéquate. Elle peut même être complétée par le fait qu'avant les deux condamnations mentionnées par le tribunal correctionnel relevant de la juridiction des adultes déjà, le recourant avait été déféré devant la juridiction des mineurs. A cela s'ajoute encore que les dernières infractions sont plus graves que les premières, que leur auteur ne cesse de minimiser sa responsabilité et qu'il ne manifeste aucune volonté de s'insérer ni dans la vie sociale ni dans la vie professionnelle. L'ensemble de ces éléments aboutit à l'évidence à la conclusion qu'il est à prévoir que le recourant commettra de nouvelles infractions en raison de l'absence de tout amendement. Un pronostic peut donc être posé et ce pronostic doit être qualifié de très défavorable. C'est ainsi à juste titre que le tribunal correctionnel a révoqué les sursis. Au surplus, la quotité de la peine privative de liberté d'ensemble prononcée n'est pas contestée en soi, le recourant ne fondant sa conclusion en réduction de la peine que sur sa conclusion tendant à ce qu'il soit libéré de l'accusation d'agression (mémoire, p. 13 en haut). Le recours ne comporte aucun moyen déduit du caractère arbitrairement sévère de la peine, en particulier à l'aune de l'art. 47 CP.</w:t>
      </w:r>
    </w:p>
    <w:p>
      <w:r>
        <w:rPr>
          <w:b/>
        </w:rPr>
        <w:t>E. 11</w:t>
      </w:r>
    </w:p>
    <w:p>
      <w:r>
        <w:t>Le recourant conteste enfin qu'il ait été donné acte à L.________ de ses réserves de droit civil, ainsi que le montant des frais (de première instance) mis à sa charge. a) Les conclusions du plaignant L.________, partie civile, tendant à ce qu'il lui soit donné acte de ses réserves civiles à raison de la part de son dommage excédant l'indemnité pour tort moral ont été formulées conformément à l'art. 97 al. 1 let. c, respectivement let. d CPP, aux débats (cf. l'art. 357 al. 1 CPP). Il est établi que le dommage subi par ce plaignant, et dont répondent solidairement les accusés, revêt également d'autres aspects que le tort moral, ainsi, notamment, son préjudice matériel immédiat (la chose mobilière dérobée, respectivement la contre-valeur de ce bien) et son manque à gagner dû à l'incapacité de travail selon l'art. 46 al. 1 CO (damnum emergens et lucrum cessans). C'est donc conformément à l'art. 370 al. 1 CPP que le tribunal correctionnel lui a donné acte de ses réserves civiles pour le surplus. b) Pour ce qui est des frais, ils suivent le sort de la cause, dont ils constituent l'accessoire (cf. l'art. 157 al. 1 CPP). Il n'y a au surplus aucun motif de n'astreindre le condamné qu'au paiement d'une partie des frais seulement en application de l'art. 157 al. 3 CPP. Enfin, l'accusé ne les conteste pas séparément dans leur quotité. Le recours en réforme doit donc être rejeté à l'instar du recours en nullité.</w:t>
      </w:r>
    </w:p>
    <w:p>
      <w:r>
        <w:rPr>
          <w:b/>
        </w:rPr>
        <w:t>E. 12</w:t>
      </w:r>
    </w:p>
    <w:p>
      <w:r>
        <w:t>En conclusion, le recours doit être rejeté en application de l'art. 431 al. 2 CPP et le jugement confirmé. Vu l'issue du recours, les frais de deuxième instance, y compris l'indemnité allouée à son défenseur d'office, par 660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