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VD_FINDINFO HC / 2010 / 302 vom 29. März 2010</w:t>
      </w:r>
    </w:p>
    <w:p>
      <w:r>
        <w:t>VD Tribunal cantonal, 2010-03-29, FR</w:t>
      </w:r>
    </w:p>
    <w:p>
      <w:r>
        <w:rPr>
          <w:b/>
        </w:rPr>
        <w:t xml:space="preserve">Quelle: </w:t>
      </w:r>
      <w:r>
        <w:t>https://mcp.opencaselaw.ch/entscheid/vd_findinfo_HC___2010___302</w:t>
      </w:r>
    </w:p>
    <w:p>
      <w:r>
        <w:t>FR: VD_FINDINFO HC / 2010 / 302 du 29 mars 2010</w:t>
      </w:r>
    </w:p>
    <w:p>
      <w:r>
        <w:t>IT: VD_FINDINFO HC / 2010 / 302 del 29 marzo 2010</w:t>
      </w:r>
    </w:p>
    <w:p>
      <w:pPr>
        <w:pStyle w:val="Heading2"/>
      </w:pPr>
      <w:r>
        <w:t>Regeste</w:t>
      </w:r>
    </w:p>
    <w:p>
      <w:r>
        <w:t>BAIL À LOYER, AUGMENTATION{EN GÉNÉRAL}, MÉTHODE RELATIVE, PLUS-VALUE, AMORTISSEMENT{ÉCONOMIE} | 269a let. b CO, 451 ch. 2 CPC, 452 al. 1 CPC, 452 al. 2 CPC, 14 OBLF</w:t>
      </w:r>
    </w:p>
    <w:p>
      <w:pPr>
        <w:pStyle w:val="Heading2"/>
      </w:pPr>
      <w:r>
        <w:t>Erwägungen</w:t>
      </w:r>
    </w:p>
    <w:p>
      <w:r>
        <w:rPr>
          <w:b/>
        </w:rPr>
        <w:t>E. 8</w:t>
      </w:r>
    </w:p>
    <w:p>
      <w:r>
        <w:t>décembre 2006 sont admises. Dans son mémoire du 17 février 2010, la recourante a développé ses moyens et confirmé ses conclusions. Elle a produit un état locatif avant travaux d'un montant de 537'288 fr. en application de l'art. 456a CPC (Code de procédure civile du 14 décembre 1966; RSV 270.11). En droit 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