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301 vom 16. Juni 2010</w:t>
      </w:r>
    </w:p>
    <w:p>
      <w:r>
        <w:t>VD Tribunal cantonal, 2010-06-16, FR</w:t>
      </w:r>
    </w:p>
    <w:p>
      <w:r>
        <w:rPr>
          <w:b/>
        </w:rPr>
        <w:t xml:space="preserve">Quelle: </w:t>
      </w:r>
      <w:r>
        <w:t>https://mcp.opencaselaw.ch/entscheid/vd_findinfo_HC___2010___301</w:t>
      </w:r>
    </w:p>
    <w:p>
      <w:r>
        <w:t>FR: VD_FINDINFO HC / 2010 / 301 du 16 juin 2010</w:t>
      </w:r>
    </w:p>
    <w:p>
      <w:r>
        <w:t>IT: VD_FINDINFO HC / 2010 / 301 del 16 giugno 2010</w:t>
      </w:r>
    </w:p>
    <w:p>
      <w:pPr>
        <w:pStyle w:val="Heading2"/>
      </w:pPr>
      <w:r>
        <w:t>Regeste</w:t>
      </w:r>
    </w:p>
    <w:p>
      <w:r>
        <w:t>MODÉRATION, HONORAIRES, AVOCAT | 12 let. i LLCA, 45 al. 1 LPAv, 50 al. 1 LPAv, 50 LPAv, 51 LPAv</w:t>
      </w:r>
    </w:p>
    <w:p>
      <w:pPr>
        <w:pStyle w:val="Heading2"/>
      </w:pPr>
      <w:r>
        <w:t>Erwägungen</w:t>
      </w:r>
    </w:p>
    <w:p>
      <w:r>
        <w:rPr>
          <w:b/>
        </w:rPr>
        <w:t>E. 1</w:t>
      </w:r>
    </w:p>
    <w:p>
      <w:r>
        <w:t>a) Selon l'art. 50 LPAv (loi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 er janvier 2008, ne relève plus de la Cour de modération, qui a été supprimée (art. 67 et 73 al. 2 LOJV [loi d'organisation judiciaire du 12 décembre 1979; RSV 173.01]), mais de la Chambre des recours, plus précisément de la deuxième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 applicables par renvoi de l'art. 99 LPA-VD - et l'art. 51 LPAv, le délai de recours est de trente jours, l'acte de recours devant être signé et indiquer les conclusions et motifs du recours. b) En l'espèce, on comprend des écritures des 18 et 28 janvier 2010 que le recourant réclame la réduction des honoraires de l'intimé pour la procédure de mesures protectrices de l'union conjugale et les deux affaires pénales. Une telle conclusion est suffisante en matière de modération (cf. Jomini, Les honoraires et débours de l'avocat vaudois et leur modération, in JT 1982 III</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a) Le recourant fait en substance valoir que le montant total des trois notes d'honoraires établies le 15 septembre 2009 par l'intimé est excessif. Il se réfère notamment à la requête de modération qu'il a adressée le 26 octobre 2009 à la Chambre des avocats, dans laquelle il avait estimé que le montant des provisions déjà versées était suffisant pour couvrir les honoraires de l'intimé pour les trois affaires. b/aa)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1e; voir aussi arrêt TF 5P.438/2005 du 13 février 2006 c. 3.1 et les références citées). bb) Il ressort du dossier que l’intimé a soutenu avoir rapidement informé son client du tarif horaire de 500 fr. qu'il pratique, ce que le recourant conteste. La note d’honoraires relative au litige matrimonial ne porte pas la mention du tarif horaire appliqué. Le juge modérateur a reconstitué celui-ci en divisant le montant de 16'000 fr. réclamé par le nombre d'heures que l'intimé indiquait avoir consacrées à l'exécution de ce mandat, soit environ 420 fr. débours compris, tarif arrondi à 400 fr. sans débours (cf. prononcé, pp. 7-8). Le juge d'instruction s'est quant à lui basé sur le tarif de 500 fr. par heure avancé par l’intimé. Or, la division du montant des «honoraires et débours» figurant sur les notes d'honoraires par le nombre d'heures consacrées à ces deux affaires pénales permet de déterminer un tarif horaire de 463 fr. 15 pour la procédure P2.________ (2'200 fr. : 4h45) et de 453 fr. 50 pour le dossier P1.________ (2'000 fr. : 4h25). Il en résulte que l’intimé a pratiqué un tarif horaire inférieur à celui de 500 fr. dont il a fait état en procédure et que le tarif qu’il a appliqué diffère dans chacune des trois notes d’honoraires litigieuses établies à la même date. Ces éléments vont dans le sens de l’allégation du recourant selon laquelle le tarif horaire n’a pas été clairement défini en début de mandat, si ce n’est par l’indication peu précise qu’il serait supérieur à celui de l’assistance judiciaire, soit 180 francs. En l’absence d’accord sur le montant ou sur le mode de calcul de la rémunération, il convient de s’en tenir à une rémunération usuelle (Bohnet/Martenet, Droit de la profession d’avocat, Berne 2009, n. 2967, pp. 1171-1172). Bien que dans une cause genevoise exceptionnelle de par la valeur litigieuse de l’ordre de 600 millions et par l’importance des honoraires litigieux le Tribunal fédéral ait approuvé un tarif horaire de base de 400 fr. (TF 4D_43/2007 du 23 janvier 2008 c. 2.4), cela ne signifie pas - contrairement à un avis de doctrine récent (Valticos, Commentaire romand, Loi sur les avocats, Bâle 2010, n. 286 ad art. 12 LLCA, p. 139) - que ce montant constitue une référence usuelle du coût de l'heure d'un avocat dans tous les cantons. Dans un arrêt du 17 octobre 2003, la Cour de modération du Tribunal cantonal vaudois a considéré qu’au regard des tarifs usuellement pratiqués dans le canton, un tarif horaire de 330 fr. paraissait tout à fait fondé (JT 2006 III 38 c. 2d). Le Tribunal fédéral a quant à lui estimé dans une affaire vaudoise qu’un tarif horaire de 350 fr. échappait au grief d’arbitraire (TF 5P.438/2005 précité c. 3.2). Si un avocat entend déroger de manière sensible aux règles fixées par l'usage en matière de rémunération, il doit en informer son client de manière claire et détaillée. Il a ainsi été retenu qu'un tarif horaire (non convenu) dépassant d’environ 30% le coût normal de l'heure d’avocat était excessif et arbitraire (Bohnet/Martenet, op. cit., n. 1226-1227, p. 522). Or, l'augmentation du tarif horaire de 350 fr. à 500 fr. équivaut à en l'occurrence à une hausse supérieure à cette limite. De plus, la rémunération doit être objectivement proportionnée aux services rendus (Bohnet/Martenet, op. cit., n. 2960, p. 1168), alors que l'intimé a en l'espèce été mandaté dans le cadre de mesures protectrices de l’union conjugale et d’enquêtes pénales ne présentant pas de difficultés particulières. Au vu de ce qui précède, il se justifie d'appliquer un tarif horaire de 350 fr. aux trois notes d'honoraires litigieuses. c/aa) L'art. 12 let. i LLCA (loi fédérale du 23 juin 2000 sur la libre circulation des avocats; RS 935.61)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sans en dénaturer la portée (cf. art. 11 let. i du projet qui prévoyait que l'avocat "renseigne périodiquement son client sur le montant des honoraires dus"; Feuille fédérale [FF] 1999, pp. 5391-5392) En ce qui concerne les honoraires, le message du Conseil fédéral relève que la LLCA renonce à imposer aux cantons une réglementation uniforme en matière d'honoraires (FF 1999, p. 5356). Par rapport à l'art. 11 let. i du projet, le Conseil fédéral signale aussi que l'obligation de renseigner existe dans certains cantons sous la forme d'une disposition qui enjoint l'avocat de demander des provisions suffisantes au fur et à mesure de l'affaire (FF 1999, p. 5371). Lors des débats parlementaires, la possibilité pour le client d'obtenir une réduction des honoraires en cas de défaut d'information de l'avocat sur sa facturation a expressément été rappelée (Bulletin officiel du Conseil des Etats [BO-CE] 1999, p. 1172). La LPAv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38; JT 2003 III 67; JT 1990 III 66; CREC II, 23 septembre 2009, n o 180; CREC II, 9 mars 2009, n o 37). La cour de céans a estimé qu'une réduction d'un tiers de la part des honoraires facturés dépassant la provision encaissée était dans ce cas adéquate (CREC II, 24 février 2009, n o 26; CREC II, 16 juin 2008, n o 109). bb) Le président du tribunal d'arrondissement a réduit les honoraires de la procédure matrimoniale pour défaut de provision suffisante de 13'300 fr. à 11'000 fr., TVA non incluse, soit de 17,30 %. En s’abstenant de recourir et en se référant à ce prononcé dans ses déterminations, l’intimé a implicitement admis la pertinence du principe et de la quotité de cette réduction. Il ressort en outre des deux notes d'honoraires relatives aux affaires pénales que l'intimé a défendu les intérêts du recourant du 28 octobre 2008 au 15 septembre 2009 dans l'affaire P2.________ et du 19 novembre 2008 au 15 septembre 2009 dans la cause P1.________. Les mandats ont ainsi eu une durée respective d'environ dix et neuf mois, qui ne saurait être qualifiée de brève. Or, l'intimé n'a demandé aucune provision dans le cadre de ces deux dossiers pénaux, ce qui constitue une faute justifiant une réduction de ses honoraires d'un tiers conformément à la jurisprudence susmentionnée. cc) La note d'honoraires relative à la procédure matrimoniale ne présente pas une liste détaillée des débours, seul le montant dû à titre d'«honoraires et débours» y figurant. Le président du tribunal d'arrondissement a estimé que les débours pouvaient être arrêtés à 500 fr. (cf. prononcé, p. 8). Or, les débours consistent dans le paiement effectif d'une somme précise pour une opération déterminée, et non pas dans les frais de confection des pièces ordinaires, qui sont inclus dans les frais généraux (Poudret/Haldy/Tappy, Procédure civile vaudoise, 3 ème éd., Lausanne 2002, n. 5 ad art. 91 CPC, p. 171 avec références).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op. cit., n. 2916, p. 1151; cf. également les arrêts cités par Jomini in JT 1982 III 2 précité, n. 9, p. 5). En l'espèce, étant donné l'absence de toute justification concrète pour des débours précis, il y a lieu d'arrêter les débours au montant forfaitaire de 100 fr., la somme retenue à ce titre par le juge modérateur matrimonial étant excessive. dd) Au vu des éléments qui précèdent, les honoraires et débours de l'intimé relatifs à la procédure pénale P1.________ doivent être arrêtés à 1'543 fr. 50 (4h25 x 350 fr.), réduits à 1'029 fr. (1'543 fr. 50 - [1'543 fr. 50 x 1/3]), plus TVA par 78 fr. 20, soit au montant total de 1'107 fr. 20. Les honoraires et débours dus pour l'affaire P2.________ s'élèvent quant à eux à 1'662 fr. 50 (4h45 x 350 fr.), réduits à 1'108 fr. 35 (1'662 fr. 50 - [1'662 fr. 50 x 1/3]), TVA par 84 fr. 25 en sus, soit au total à 1'192 fr. 60. Sur la base du nombre d'heures et du tarif pour les heures de vacation retenus par le président du tribunal d'arrondissement - qui ne prêtent pas le flanc à la critique - (cf. prononcé, p. 7), les honoraires et débours de l'intimé pour la procédure matrimoniale peuvent être arrêtés à 11'350 fr., soit 10'850 fr. pour les heures travaillées (31h x 350 fr.), 400 fr. pour les vacations (4h x 100 fr.) et 100 fr. de débours. Les 3'666 fr. (11'350 fr. - 7'684 fr.) dépassant les provisions encaissées doivent toutefois être réduits d'un tiers, soit de 1'222 fr. (3666 fr. x 1/3). Les honoraires réduits s'élèvent ainsi à 10'128 fr. (7'684 fr. + [3'666 fr. - 1'222 fr.]), plus TVA par 769 fr. 70, soit au total à 10'897 fr. 70. d) Le chiffre II du dispositif du prononcé rendu le 17 décembre 2009 doit être rectifié d'office en ce sens que les frais sont supportés par X.________, conformément aux considérants du prononcé (cf. p. 9 in fine). La mention de A.F.________ dans le dispositif résulte en effet d'une erreur manifeste.</w:t>
      </w:r>
    </w:p>
    <w:p>
      <w:r>
        <w:rPr>
          <w:b/>
        </w:rPr>
        <w:t>E. 4</w:t>
      </w:r>
    </w:p>
    <w:p>
      <w:r>
        <w:t>En conclusion, les recours doivent être partiellement admis. Le chiffre I du dispositif de l'ordonnance rendue le 4 janvier 2010 par le Juge d'instruction de l'arrondissement de Lausanne dans l'affaire P1.________ est réformé en ce sens que le montant des honoraires, débours et TVA compris, dus à l'intimé pour la rémunération de son mandat dans le cadre de la défense pénale du recourant est fixé à 1'107 fr. 20, la décision étant confirmée pour le surplus. Le chiffre I du dispositif de l'ordonnance rendue le 4 janvier 2010 par ce même magistrat dans l'affaire P2.________ est réformé en ce sens que le montant des honoraires, débours et TVA compris, dus à l'intimé pour la rémunération de son mandat dans le cadre de la défense pénale du recourant est fixé à 1'192 fr. 60, la décision étant confirmée pour le surplus. Le prononcé rendu le 17 décembre 2009 par le Président du Tribunal civil de l'arrondissement de la Broye et du Nord vaudois est quant à lui réformé en ce sens que la note d'honoraires et débours du 15 septembre 2009 de l'intimé pour l'ensemble des opérations effectuées dans le cadre des deux procédures de mesures protectrices de l'union conjugale concernant les époux A.F.________ et B.F.________ est modérée à 10'128 fr., plus la TVA (7,6%) par 769 fr. 70, soit un montant total de 10'897 fr. 70, sous déduction de 7'684 fr. de provisions versées, l'émolument étant arrêté à 165 fr. à la charge de X.________. Les frais de deuxième instance du recourant sont arrêtés pour chaque recours à 150 fr. (art. 249 TFJC [tarif du 4 décembre 1984 des frais judiciaires en matière civile; RSV 270.11.5]), soit 450 fr. au total. Obtenant partiellement gain de cause, le recourant, qui a agi en personne, a droit à des dépens réduits de deuxième instance, arrêtés à 225 fr. en remboursement de ses frais de justice. Par ces motifs, la Chambre des recours du Tribunal cantonal, statuant à huis clos, prononce : I. Les recours sont partiellement admis. II. L'ordonnance rendue le 4 janvier 2010 par le Juge d'instruction de l'arrondissement de Lausanne dans l'enquête P1.________ est réformée comme il suit au chiffre I de son dispositif: I. fixe à 1'107 fr. 20 (mille cent sept francs et vingt centimes) le montant des honoraires, débours et TVA (7,6%) compris, dus à Me X.________ pour la rémunération de son mandat dans le cadre de la défense pénale de A.F.________ dans l'affaire P1.________. L'ordonnance est confirmée pour le surplus. III. L'ordonnance rendue le 4 janvier 2010 par le Juge d'instruction de l'arrondissement de Lausanne dans l'enquête P2.________ est réformée comme il suit au chiffre I de son dispositif: I. fixe à 1'192 fr. 60 (mille cent nonante-deux francs et soixante centimes) le montant des honoraires, débours et TVA (7,6%) compris, dus à Me X.________ pour la rémunération de son mandat dans le cadre de la défense pénale de A.F.________ dans l'affaire P2.________. L'ordonnance est confirmée pour le surplus. IV. Le prononcé rendu le 17 décembre 2009 par le Président du Tribunal civil de l'arrondissement de la Broye et du Nord vaudois est réformé comme il suit: I. modère la note d'honoraires et débours du 15 septembre 2009 de l'avocat X.________ pour l'ensemble des opérations effectuées dans le cadre des deux procédures de mesures protectrices de l'union conjugale concernant les époux A.F.________ et B.F.________ à 10'128 fr. (dix mille cent vingt-huit francs), plus la TVA (7,6%) par 769 fr. 70 (sept cent soixante-neuf francs et septante centimes), soit un montant total de 10'897 fr. 70 (dix mille huit cent nonante-sept francs et septante centimes), sous déduction de 7'684 fr. (sept mille six cent huitante-quatre francs) de provisions versées; II. arrête l'émolument à 165 fr. (cent soixante-cinq francs) à la charge du requérant X.________. V. Les frais de deuxième instance du recourant sont arrêtés à 450 fr. (quatre cent cinquante francs). VI. L'intimé X.________ doit verser au recourant A.F.________ la somme de 225 fr. (deux cent vingt-cinq francs) à titre de dépens de deuxième instance. VII. L'arrêt est exécutoire. Le président :               La greffière : Du L'arrêt qui précède, dont la rédaction a été approuvée à huis clos, est notifié à : ‑ M. A.F.________, ‑ Me X.________. Il prend date de ce jour. La Chambre des recours considère que la valeur litigieuse est de 8'671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 M. le Juge d'instruction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