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294 vom 21. Mai 2010</w:t>
      </w:r>
    </w:p>
    <w:p>
      <w:r>
        <w:t>VD Tribunal cantonal, 2010-05-21, FR</w:t>
      </w:r>
    </w:p>
    <w:p>
      <w:r>
        <w:rPr>
          <w:b/>
        </w:rPr>
        <w:t xml:space="preserve">Quelle: </w:t>
      </w:r>
      <w:r>
        <w:t>https://mcp.opencaselaw.ch/entscheid/vd_findinfo_HC___2010___294</w:t>
      </w:r>
    </w:p>
    <w:p>
      <w:r>
        <w:t>FR: VD_FINDINFO HC / 2010 / 294 du 21 mai 2010</w:t>
      </w:r>
    </w:p>
    <w:p>
      <w:r>
        <w:t>IT: VD_FINDINFO HC / 2010 / 294 del 21 maggio 2010</w:t>
      </w:r>
    </w:p>
    <w:p>
      <w:pPr>
        <w:pStyle w:val="Heading2"/>
      </w:pPr>
      <w:r>
        <w:t>Regeste</w:t>
      </w:r>
    </w:p>
    <w:p>
      <w:r>
        <w:t>EXPULSION DE LOCATAIRE | 8 al. 1 CC, 257d CO, 266n CO, 274g al. 1 CO, 457 CPC</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(Code des obligations du 30 mars 1911, RS 220). En pareil cas, la Chambre des recours, pour répondre aux exigences du droit fédéral, doit disposer d'un libre pouvoir d'examen du droit fédéral (JT 2008 III 12; JT 2004 III 79; Guignard, Procédures spéciales vaudoises, ad art. 23 LPEBL, n. 4, p. 212). En l’espèce, les recourants ayant contesté le congé litigieux devant la commission de conciliation, l'autorité de recours n'est pas limitée dans l'examen des moyens de droit (Guignard, op. cit., ad art. 24 LPEBL, n. 1, pp. 213-214). b) Le recours, déposé en temps utile (art. 24 al. 1 LPEBL), tend implicitement à la réforme de l'ordonnance en ce sens que l'expulsion n'est pas prononcée. Il est recevable. c)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qui a été complété, est conforme aux pièces du dossier.</w:t>
      </w:r>
    </w:p>
    <w:p>
      <w:r>
        <w:rPr>
          <w:b/>
        </w:rPr>
        <w:t>E. 2</w:t>
      </w:r>
    </w:p>
    <w:p>
      <w:r>
        <w:t>L'art. 257d al. 1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Le bail prévoit le paiement d'un loyer de 1'490 fr., plus 100 fr. de charges, loyer payable mensuellement d'avance. Il n'est conclu qu'entre la bailleresse et OB.________. Par courrier adressé le 25 septembre 2009 aux deux locataires, la bailleresse a indiqué qu'elle restait dans l'attente du paiement du montant total de 4'770 fr. dû pour les loyers et charges de juillet, août et septembre 2009, et qu'à défaut de paiement dans les 30 jours, elle résilierait le bail en application de l'art. 257d CO. Par avis, notifié le 4 décembre 2009 à chaque locataire, sur formule officielle, elle a résilié le bail pour le 31 janvier 2010. Le délai comminatoire a commencé à courir lorsque le locataire a effectivement reçu en ses mains la mise en demeure, mais au plus tard à l'échéance du délai de garde postal de 7 jours (ATF 119 II 147, JT 1994 I 205; Lachat, Le bail à loyer, 2008, n. 2.2.2, pp. 667-668; SVIT-Kommentar, 3 ème éd., n. 28 ad art. 257d CO). Faute de paiement dans le délai de trente jours imparti, la notification par la bailleresse d'une résiliation pour le 31 janvier 2010 respectait les délais de l'art. 257d CO. Peu importe que, par la suite, les arriérés aient été payés (Lachat, op. cit., n. 2.2.3, p. 668), ce qui n'est d'ailleurs pas allégué ici.</w:t>
      </w:r>
    </w:p>
    <w:p>
      <w:r>
        <w:rPr>
          <w:b/>
        </w:rPr>
        <w:t>E. 3</w:t>
      </w:r>
    </w:p>
    <w:p>
      <w:r>
        <w:t>a) Les recourants soutiennent tout d'abord que dans la mesure où ils sont mariés, le bail aurait dû être adapté par la gérance et que la résiliation adressée à l'épouse ne serait pas valable, rendant l'ordonnance nulle (cf. lettre à la commission de conciliation du 20 novembre 2009). Les recourants se méprennent sur la portée de cet élément. Il est vrai que le conjoint du locataire peut exercer les mêmes droits que celui-ci lorsque la chose louée sert de logement à la famille (art. 273a al. 1 CO; cf. également art. 169 CC [Code civil suisse du 10 décembre 1907, RS 210]). Selon l'art. 266n CO, en cas de congé et fixation d'un délai de paiement avec menace de résiliation, le courrier doit être, dans ce cas, adressé tant au titulaire du bail qu'à l'époux ou l'épouse ou le partenaire enregistré (Tercier/Favre/Bugnon, Les contrats spéciaux, 4 ème éd., 2009, n. 2030, pp. 300-301 et n. 2396, p. 347). Il importe peu que le bail soit au nom de l'un des époux ou des deux (Lachat, op. cit., pp. 120-122). En cas de bail signé uniquement par l'un des époux, c'est le bailleur qui ne peut réclamer le loyer qu'au titulaire du bail et non à l'autre époux, tenu solidairement que s'il figure sur le bail (art. 143 CO et sous réserve des exceptions de l'art. 166 CC, qui sont irrelevantes dans le cadre de la présente affaire). En revanche, les deux époux peuvent exercer tous les droits relatifs au logement familial de manière séparée, ce qu'ils ont d'ailleurs fait dans le cas particulier. Le moyen est mal fondé et doit être rejeté. b) Les recourants font encore valoir que le congé et la mise en demeure auraient également dû être adressés au fils de la recourante, qui loge avec eux et qui reçoit des prestations sociales de la ville de Lausanne, notamment pour le logement. De manière générale, seul le locataire est lié au bailleur (Tercier/Favre/Bugnon, op. cit., n. 2029, p. 300). Le fils (majeur) ne figure pas sur le bail et les recourants ne démontrent nulle part qu'ils auraient indiqué à la gérance ce "locataire" supplémentaire. La charge de cette preuve leur incombait (art. 8 CC). En tant que tel, et faute d'accords particuliers, le fait de loger une personne majeure ne change rien au fait que seul le titulaire du bail répond du non paiement du loyer et de ses conséquences. Les recourants n'allèguent d'ailleurs pas que le fils aurait, grâce aux versements des services sociaux, payé tout ou partie du loyer. Le moyen est infondé.</w:t>
      </w:r>
    </w:p>
    <w:p>
      <w:r>
        <w:rPr>
          <w:b/>
        </w:rPr>
        <w:t>E. 4</w:t>
      </w:r>
    </w:p>
    <w:p>
      <w:r>
        <w:t>En conclusion, le recours doit être rejeté et l'ordonnance confirmée. Les frais de deuxième instance des recourants, solidairement entre eux, sont arrêtés à 350 francs. Il n'est pas alloué de dépens. Le mandataire de l'intimée s'étant limité à une lettre s'en remettant à justice. Par ces motifs, la Chambre des recours du Tribunal cantonal, statuant à huis clos, prononce : I. Le recours est rejeté. II. L'ordonnance est confirmée. III. Les frais de deuxième instance des recourants OA.________ et OB.________, solidairement entre eux, sont arrêtés à 350 fr. (trois cent cinquante francs). IV. Il n'est pas alloué de dépens. V. L'arrêt motivé est exécutoire. La président :               La greffière : Du 21 mai 2010 Le dispositif de l'arrêt qui précède est communiqué par écrit aux intéressés. La greffière : Du L'arrêt qui précède, dont la rédaction a été approuvée à huis clos, est notifié à : ‑ Mme OA.________, ‑ M. OB.________, - M. Jacques Lauber (pour F.________). La Chambre des recours considère que la valeur litigieuse est de 3'180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