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293 vom 13. April 2010</w:t>
      </w:r>
    </w:p>
    <w:p>
      <w:r>
        <w:t>VD Tribunal cantonal, 2010-04-13, FR</w:t>
      </w:r>
    </w:p>
    <w:p>
      <w:r>
        <w:rPr>
          <w:b/>
        </w:rPr>
        <w:t xml:space="preserve">Quelle: </w:t>
      </w:r>
      <w:r>
        <w:t>https://mcp.opencaselaw.ch/entscheid/vd_findinfo_HC___2010___293</w:t>
      </w:r>
    </w:p>
    <w:p>
      <w:r>
        <w:t>FR: VD_FINDINFO HC / 2010 / 293 du 13 avril 2010</w:t>
      </w:r>
    </w:p>
    <w:p>
      <w:r>
        <w:t>IT: VD_FINDINFO HC / 2010 / 293 del 13 aprile 2010</w:t>
      </w:r>
    </w:p>
    <w:p>
      <w:pPr>
        <w:pStyle w:val="Heading2"/>
      </w:pPr>
      <w:r>
        <w:t>Regeste</w:t>
      </w:r>
    </w:p>
    <w:p>
      <w:r>
        <w:t>PRINCIPE DE L'ACCUSATION, SURSIS À L'EXÉCUTION DE LA PEINE, FIXATION DE LA PEINE | 42 CP, 47 CP, 353 CPP</w:t>
      </w:r>
    </w:p>
    <w:p>
      <w:pPr>
        <w:pStyle w:val="Heading2"/>
      </w:pPr>
      <w:r>
        <w:t>Erwägungen</w:t>
      </w:r>
    </w:p>
    <w:p>
      <w:r>
        <w:rPr>
          <w:b/>
        </w:rPr>
        <w:t>E. 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1.1</w:t>
      </w:r>
    </w:p>
    <w:p>
      <w:r>
        <w:t>En procédure pénale vaudoise, le tribunal ne peut en principe s'écarter ni des faits retenus à la charge de l'accusé dans l'ordonnance de renvoi ni de leur qualification juridique. L'ordonnance de renvoi fixe le cadre des faits reprochés à l'accusé de façon que celui-ci sache ce contre quoi il doit se défendre. Le tribunal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Le juge du fond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CPP; CCASS, F., 26 avril 1999, n. 87 et les références citées). La procédure imposée par l'art. 353 CPP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références citées). Selon le Tribunal fédéral (TF 6B_1011/2008 du 26 mars 2009, c. 1.1), le principe d'accusation est une composante du droit d'être entendu consacré par l'art. 29 al. 2 Cst. (Constitution fédérale de la Confédération suisse du 18 avril 1999, RS 101) et peut aussi être déduit des art 32 al. 2 Cst et 6 ch. 3 CEDH (Convention de sauvegarde des droits de l'homme et des libertés fondamentales du 4 novembre 1950, RS 0.101), qui n'ont à cet égard pas de portée distincte. Il implique que le prévenu sache exactement les faits qui lui sont imputés et quelles sont les peines et mesures auxquelles il est exposé, afin qu'il puisse s'expliquer et préparer efficacement sa défense (ATF 126 I 19, c. 2a). Il n'empêche pas l'autorité de jugement de s'écarter de l'état de fait ou de la qualification juridique retenus dans la décision de renvoi ou l'acte d'accusation, à condition toutefois que les droits de la défense soient respectés (ATF 126 I 19, précité, c. 2a et 2c).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précité, c. 2d/bb).</w:t>
      </w:r>
    </w:p>
    <w:p>
      <w:r>
        <w:rPr>
          <w:b/>
        </w:rPr>
        <w:t>E. 1.2</w:t>
      </w:r>
    </w:p>
    <w:p>
      <w:r>
        <w:t>Dans le cas présent, les premiers juges ont mentionné que l'ordonnance de renvoi citait expressément et exhaustivement l'art. 4a al. 1 let. b OCR (ordonnance sur les règles de la circulation routière du 13 novembre 1962, RS 741.11), de telle sorte que l'accusé ne saurait soutenir ignorer le chef d'accusation topique (jgt., p. 5). Il était reproché à B.________ d'avoir circulé à une vitesse dépassant de 32 km/h celle de 80 km/h au maximum autorisée hors localité. Il n'était effectivement pas question ici d'appliquer l'art. 32 al. 1 LCR qui oblige le conducteur à adapter sa vitesse aux circonstances. Dans le cas d'un excès de vitesse entendu sous l'angle d'un dépassement de la limite générale imposée par la loi, c'est l'art. 4a OCR qui constitue la règle topique (Jeanneret, Les dispositions pénales de la Loi sur la circulation routière, Berne 2007, p. 53). Or, en l'espèce, cette disposition était expressément mentionnée dans l'ordonnance de renvoi. Dans ces conditions, on ne voit pas en quoi l'absence de mention de l'art. 27 LCR aurait privé le recourant de se défendre efficacement. Celui-ci a bel et bien enfreint l'art. 4a let. b OCR qui entraîne, suivant l'importance du dépassement, l'application de l'art. 90 ch. 1 ou de l'art. 90 ch. 2 LCR. Son comportement a été considéré à juste titre comme constitutif d'une violation grave des règles de la circulation au sens de l'art. 90 ch. 2 LCR et le fait que l'art. 32 al. 1 LCR ne trouve pas application n'y change strictement rien. Mal fondé, le moyen doit être rejeté ainsi que le recours en nullité dans son intégralité. III. Recours en réforme</w:t>
      </w:r>
    </w:p>
    <w:p>
      <w:r>
        <w:rPr>
          <w:b/>
        </w:rPr>
        <w:t>E. 2</w:t>
      </w:r>
    </w:p>
    <w:p>
      <w:r>
        <w:t>Invoquant une violation de l’art. 47 CP (Code pénal suisse du 21 décembre 1937, RS 311.0), le recourant se plaint de la quotité de la peine privative de liberté qui lui a été infligée. Il soutient en substance qu'en accordant une importance exagérée à ses antécédents d'ordre administratif et en omettant de prendre en considération son changement de comportement, ses regrets sincères, ses aveux complets ainsi que les conséquences civiles de l'infraction, les premiers juges ont abusé de leur pouvoir d'appréciation.</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2.2</w:t>
      </w:r>
    </w:p>
    <w:p>
      <w:r>
        <w:t>Au stade de la fixation de la peine, les magistrats de première instance ont relevé que la culpabilité de B.________ était importante. Ils ont souligné ses antécédents judiciaires, ses multiples infractions à la LCR ayant débouché sur des mesures de retrait de permis de conduire ainsi que le concours d'infractions. Le jugement mentionne encore que l'accusé a récidivé par deux fois en cours de procédure, démontrant ainsi son mépris absolu des lois prévalant en matière de circulation routière. En outre, toutes les infractions auraient pu être aisément évitées. A décharge, le tribunal a retenu la situation sociale et financière précaire du prénommé ainsi que son actuelle renonciation à conduire.</w:t>
      </w:r>
    </w:p>
    <w:p>
      <w:r>
        <w:rPr>
          <w:b/>
        </w:rPr>
        <w:t>E. 2.2.1</w:t>
      </w:r>
    </w:p>
    <w:p>
      <w:r>
        <w:t>Le recourant soutient en vain que le tribunal a accordé une importance exagérée aux mesures administratives prononcées à son encontre. En effet, les infractions à la législation sur la circulation routière inscrites dans le fichier des mesures administratives peuvent être prises en considération lors de la fixation de la peine, même si elles sont anciennes et que les condamnations pénales qui en ont découlé ont été radiées du casier judiciaire (Favre/Pellet/Stoudmann, Code pénal annoté,</w:t>
      </w:r>
    </w:p>
    <w:p>
      <w:r>
        <w:rPr>
          <w:b/>
        </w:rPr>
        <w:t>E. 2.2.2</w:t>
      </w:r>
    </w:p>
    <w:p>
      <w:r>
        <w:t>Le recourant reproche à l'autorité intimée d'avoir omis de tenir compte de ses aveux complets. Cet argument est dénué de pertinence. Il ressort du jugement attaqué que B.________ a, en réalité, tenté de minimiser ses fautes. Il a ainsi expliqué qu'il était en retard pour justifier un excès de vitesse et il a contesté s'être rendu coupable d'une tentative de dérobade à une prise de sang.</w:t>
      </w:r>
    </w:p>
    <w:p>
      <w:r>
        <w:rPr>
          <w:b/>
        </w:rPr>
        <w:t>E. 2.2.3</w:t>
      </w:r>
    </w:p>
    <w:p>
      <w:r>
        <w:t>S'agissant de la prétendue prise de conscience que l'accusé invoque, la décision querellée met surtout en évidence, dans le cadre de l'octroi d'un éventuel sursis, que ses résolutions quant à sa consommation d'alcool paraissaient très faibles et trop récentes pour permettre au tribunal de fonder un pronostic pas défavorable. Les premiers juges ont d'ailleurs souligné que la consommation d'alcool du recourant était quasiment quotidienne et qu'il ne voyait pas la nécessité de voir un médecin.</w:t>
      </w:r>
    </w:p>
    <w:p>
      <w:r>
        <w:rPr>
          <w:b/>
        </w:rPr>
        <w:t>E. 2.3</w:t>
      </w:r>
    </w:p>
    <w:p>
      <w:r>
        <w:t>B.________ ne cite du reste aucune circonstance précise que le tribunal aurait méconnue. En définitive, la peine a été fixée sur la base de critères pertinents, sans que l'on en discerne d'importants qui auraient été omis ou pris en considération à tort. Les magistrats de première instance ont donc déterminé la gravité de la faute de l'accusé sur la base d'éléments adéquats. Ils ont procédé à un examen circonstancié en exposant, en page 8 du jugement attaqué, les critères qui les ont amenés à qualifier la culpabilité de l'intéressé d'" importante ". Une peine privative de liberté de huit mois, eu égard à l'ensemble des éléments devant être pris en considération apparaît proportionnée à la culpabilité du recourant. Elle n'est en tout cas pas excessive au point que l'autorité intimée doive se voir reprocher un abus de son pouvoir d'appréciation. Mal fondé, le moyen doit être rejeté.</w:t>
      </w:r>
    </w:p>
    <w:p>
      <w:r>
        <w:rPr>
          <w:b/>
        </w:rPr>
        <w:t>E. 3</w:t>
      </w:r>
    </w:p>
    <w:p>
      <w:r>
        <w:t>Le recourant fait encore grief au tribunal d'avoir renoncé à prononcer une peine avec sursis.</w:t>
      </w:r>
    </w:p>
    <w:p>
      <w:r>
        <w:rPr>
          <w:b/>
        </w:rPr>
        <w:t>E. 3.1</w:t>
      </w:r>
    </w:p>
    <w:p>
      <w:r>
        <w:t>Selon le nouvel 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Conformément à l'art. 42 al. 1 CP,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5, c. 4.2.1; ATF 128 IV 193, c. 3a; 118 IV 97, c.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5, c. 4.2.2).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3.2</w:t>
      </w:r>
    </w:p>
    <w:p>
      <w:r>
        <w:t>Au vu de ses antécédents, de la récidive en cours d'enquête démontrant son ancrage dans la délinquance, de son absence de prise de conscience, de son manque d'introspection ainsi que de l'absence d'éléments, dans sa situation personnelle, susceptibles de conduire à une appréciation différente, on peut évidemment craindre au plus haut point une récidive. Le recourant a réitéré ses comportements délictueux à de nombreuses reprises, sans se soucier des diverses sanctions administratives prises à son égard, dont il n'a manifestement tiré aucun enseignement. L'autorité intimée s'est également référée à ses condamnations à des peines fermes, restées sans effet sur son comportement délictueux. A l'évidence, les nombreuses sanctions prises à son encontre n'ont eu aucun effet sur son comportement. Il existe donc de sérieuses raisons de penser qu'il n'y a pas de garanties suffisantes qu'à l'avenir l'intéressé observera les prescriptions en matière de circulation routière. L'examen de l'ensemble des éléments du cas d'espèce conduit dès lors à un pronostic défavorable. En conséquence, c'est sans arbitraire que les premiers juges ont renoncé à assortir du sursis la peine infligée au recourant. Mal fondé, le moyen doit être rejeté. IV. En définitive, aucun des moyens invoqués par B.________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