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278 vom 9. April 2010</w:t>
      </w:r>
    </w:p>
    <w:p>
      <w:r>
        <w:t>VD Tribunal cantonal, 2010-04-09, FR</w:t>
      </w:r>
    </w:p>
    <w:p>
      <w:r>
        <w:rPr>
          <w:b/>
        </w:rPr>
        <w:t xml:space="preserve">Quelle: </w:t>
      </w:r>
      <w:r>
        <w:t>https://mcp.opencaselaw.ch/entscheid/vd_findinfo_HC___2010___278</w:t>
      </w:r>
    </w:p>
    <w:p>
      <w:r>
        <w:t>FR: VD_FINDINFO HC / 2010 / 278 du 9 avril 2010</w:t>
      </w:r>
    </w:p>
    <w:p>
      <w:r>
        <w:t>IT: VD_FINDINFO HC / 2010 / 278 del 9 aprile 2010</w:t>
      </w:r>
    </w:p>
    <w:p>
      <w:pPr>
        <w:pStyle w:val="Heading2"/>
      </w:pPr>
      <w:r>
        <w:t>Regeste</w:t>
      </w:r>
    </w:p>
    <w:p>
      <w:r>
        <w:t>LIBÉRATION CONDITIONNELLE, PRONOSTIC | 86 CP, 485m CPP, 26 LEP, 38 al. 1 LEP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vaudoise sur l'exécution des condamnations pénales du 4 juillet 2006, RSV 340.01). Il est notamment compétent pour statuer sur l'octroi ou le refus de la libération conditionnelle (art. 26 al. 1 er let. a LEP). b) En vertu de l'art. 38 al. 1 er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formellement recevable.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En l’espèce, R.________ conteste la décision du Juge d’application des peines de lui refuser la libération conditionnelle. Il s’étonne de l’émission d’un pronostic défavorable en ce qui le concerne dès lors qu’il veut à tout prix retourner dans son pays d’origine afin de retrouver sa famille et, dit-il, passer à autre chose. a)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 361 s.).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 ème éd., Neuchâtel et Paris 1976, n° 4a ad art. 38 CP; Maire, op. cit.,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TF 6B_72/2007 et les arrêts cités). Selon la jurisprudence du Tribunal fédéral, s'agissant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spéc. p. 167). Il faut dans tous les cas où ces avantages existent et doivent être pris en considération, choisir la libération conditionnelle plutôt qu'un refus qui ne résout rien et se borne à repousser le problème à plus tard (ATF précité, c. 4 d, bb). Cette jurisprudence reste applicable sous l'égide du nouveau droit.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cité par la cour cantonale; CCASS 18.02.2008, n° 46). b) En l’espèce, il est admis que R.________ a d'ores et déjà exécuté les deux tiers de sa peine et que son comportement en détention ne s'oppose pas à son élargissement. Seule reste donc encore ouverte la question du pronostic. En l’occurrence, c’est à juste titre que le premier juge a considéré que, dans la mesure où R.________ avait récidivé peu après sa première libération, il n’avait pas fait preuve d’un quelconque amendement.  Et c’est un élément important pour émettre un pronostic défavorable : cette absence de prise de conscience de ses actes - le recourant ayant même prétendu lors de son audition s’adonner au trafic pour vivre - fait en effet sérieusement redouter que l’intéressé ne commette de nouvelles infractions (cf. TF 6B_72/2007 du 8 mai 2007, c. 4.5, ATF 119 IV 5). Tous les autres éléments relevés par le Juge d’application des peines quant aux projets du recourant établissent pour le surplus un risque de réitération particulièrement important : s’il dit vouloir retourner dans son pays d’origine, R.________ explique clairement n’avoir pour l’instant aucun projet précis à mettre en œuvre là-bas pour favoriser sa réinsertion. Des doutes subsistent aussi quant à la véritable nationalité du recourant qui, a priori gambien, a récemment fait des démarches auprès de l’Ambassade du Libéria pour être reconnu comme un de ses nationaux. Rien ne permet donc de dire, à la lecture du dossier, que l’on est en présence de circonstances particulièrement favorables pour admettre que R.________, malgré les récidives passées, ne réitérera plus. Dans la mesure enfin où la volonté affichée par l’intéressé de retourner dans son pays apparaît très fortement sujette à caution, subordonner la libération conditionnelle à l’expulsion ne permettrait pas de contrecarrer le risque de récidive existant. C’est à juste titre, dans ces circonstances, que le premier juge a refusé d’octroyer la libération conditionnelle à R.________, même en la subordonnant à la condition de son refoulement vers l’Afrique. Mal fondé, le moyen ne peut qu’être rejeté et, avec lui, le recours de R.________.</w:t>
      </w:r>
    </w:p>
    <w:p>
      <w:r>
        <w:rPr>
          <w:b/>
        </w:rPr>
        <w:t>E. 3</w:t>
      </w:r>
    </w:p>
    <w:p>
      <w:r>
        <w:t>Vu l’issue du recours, la décision du Juge d’application des peines du 9 avril 2010 doit être confirmée.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