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267 vom 18. Mai 2010</w:t>
      </w:r>
    </w:p>
    <w:p>
      <w:r>
        <w:t>VD Tribunal cantonal, 2010-05-18, FR</w:t>
      </w:r>
    </w:p>
    <w:p>
      <w:r>
        <w:rPr>
          <w:b/>
        </w:rPr>
        <w:t xml:space="preserve">Quelle: </w:t>
      </w:r>
      <w:r>
        <w:t>https://mcp.opencaselaw.ch/entscheid/vd_findinfo_HC___2010___267</w:t>
      </w:r>
    </w:p>
    <w:p>
      <w:r>
        <w:t>FR: VD_FINDINFO HC / 2010 / 267 du 18 mai 2010</w:t>
      </w:r>
    </w:p>
    <w:p>
      <w:r>
        <w:t>IT: VD_FINDINFO HC / 2010 / 267 del 18 maggio 2010</w:t>
      </w:r>
    </w:p>
    <w:p>
      <w:pPr>
        <w:pStyle w:val="Heading2"/>
      </w:pPr>
      <w:r>
        <w:t>Regeste</w:t>
      </w:r>
    </w:p>
    <w:p>
      <w:r>
        <w:t>EXPULSION DE LOCATAIRE, DEMEURE DU DÉBITEUR, POUVOIR D'EXAMEN LIMITÉ | 257d al. 2 CO, 257d CO</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En conclusion, le recours doit être rejeté et l'ordonnance confirmée. Les frais de deuxième instance du recourant sont arrêtés à 300 fr. (art. 230 TFJC; tarif du 4 décembre 1984 des frais judiciaires en matière civile; RSV 270.11.5). Le bref courrier du conseil de l'intimée ne justifie pas l'allocation de dépens de deuxième instance à celle-ci. Par ces motifs, la Chambre des recours du Tribunal cantonal, statuant à huis clos, prononce : I. Le recours est rejeté. II. L'ordonnance est confirmée. III. Les frais de deuxième instance du recourant sont arrêtés à 300 fr. (trois cents francs). IV. L'arrêt motivé est exécutoire. Le président :               Le greffier : Du 18 mai 2010 Le dispositif de l'arrêt qui précède est communiqué par écrit aux intéressés. Le greffier : Du L'arrêt qui précède, dont la rédaction a été approuvée à huis clos, est notifié à : ‑ M. H.________, ‑ M. Daniel Schwab (pour V.________ SA). La Chambre des recours considère que la valeur litigieuse est de 64'960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