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264 vom 9. Februar 2010</w:t>
      </w:r>
    </w:p>
    <w:p>
      <w:r>
        <w:t>VD Tribunal cantonal, 2010-02-09, FR</w:t>
      </w:r>
    </w:p>
    <w:p>
      <w:r>
        <w:rPr>
          <w:b/>
        </w:rPr>
        <w:t xml:space="preserve">Quelle: </w:t>
      </w:r>
      <w:r>
        <w:t>https://mcp.opencaselaw.ch/entscheid/vd_findinfo_HC___2010___264</w:t>
      </w:r>
    </w:p>
    <w:p>
      <w:r>
        <w:t>FR: VD_FINDINFO HC / 2010 / 264 du 9 février 2010</w:t>
      </w:r>
    </w:p>
    <w:p>
      <w:r>
        <w:t>IT: VD_FINDINFO HC / 2010 / 264 del 9 febbraio 2010</w:t>
      </w:r>
    </w:p>
    <w:p>
      <w:pPr>
        <w:pStyle w:val="Heading2"/>
      </w:pPr>
      <w:r>
        <w:t>Regeste</w:t>
      </w:r>
    </w:p>
    <w:p>
      <w:r>
        <w:t>FIXATION DE LA PEINE, POUVOIR D'APPRÉCIATION, COMMERCE DE STUPÉFIANTS | 47 CP, 415 CPP, 431 al. 2 CPP</w:t>
      </w:r>
    </w:p>
    <w:p>
      <w:pPr>
        <w:pStyle w:val="Heading2"/>
      </w:pPr>
      <w:r>
        <w:t>Erwägungen</w:t>
      </w:r>
    </w:p>
    <w:p>
      <w:r>
        <w:rPr>
          <w:b/>
        </w:rPr>
        <w:t>E. 1</w:t>
      </w:r>
    </w:p>
    <w:p>
      <w:r>
        <w:t>Le recours d’B.________ tend exclusivement à la réforme du jugement entrepris. En pareil cas, la cour de céans est liée par les faits constatés dans le jugement attaqué, sous réserve des inadvertances manifestes qu’elle rectifie d’office (art. 447 al. 2 CPP). En revanche, elle examine librement les questions de droit sans être limitée aux moyens invoqués (art. 447 al. 1 CPP). Elle ne peut cependant aller au-delà des conclusions du recourant (art. 447 al. 2 CPP).</w:t>
      </w:r>
    </w:p>
    <w:p>
      <w:r>
        <w:rPr>
          <w:b/>
        </w:rPr>
        <w:t>E. 2</w:t>
      </w:r>
    </w:p>
    <w:p>
      <w:r>
        <w:t>Le recourant estime que la peine privative de liberté de trois ans et demi prononcée à son encontre est excessive au vu de l’ensemble des circonstances de la cause. Il reproche aux premiers juges de ne pas avoir tenu compte de tous les éléments qu’imposent la loi et la jurisprudence pour fixer la peine, ce qui, à ses yeux, aurait conduit l’autorité à un abus d’appréciation.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 ème éd. Bâle 2008,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(cf. TF 6B_380/2008 et les références citées) b) Au moment de fixer la peine susceptible de sanctionner le comportement coupable d’B.________, le tribunal a souligné que ce dernier s’était associé au sein d’une organisation criminelle possédant des ramifications internationales. Les premiers juges ont également tenu compte du fait que la qualité de la drogue dont les accusés étaient porteurs lors de leur arrestation était supérieure à ce qui était usuellement fourni sur le marché. Selon les magistrats de première instance, la drogue en question devait ainsi très certainement être coupée avant d’être mise sur le marché, ce qui aurait permis d’obtenir au minimum un kilo et demi de cocaïne, soit un chiffre d’affaires de l’ordre de 180'000 fr. à tout le moins et, sous cet angle, les activités déployées par les intéressés ne sauraient être sous-estimées. De l’avis du tribunal, B.________ a assumé un rôle plus important que son coaccusé au sein de l’organisation criminelle : il était la personne de contact et devait surveiller le bon déroulement de l’opération. En outre, il était chargé de rétribuer J.________. Ainsi, l’activité déployée par l’accusé constituait un maillon essentiel et absolument indispensable dans la chaîne de l’organisation criminelle à laquelle il s’était associé. Dans ces circonstances, le tribunal a estimé que la culpabilité d’B.________ était particulièrement importante et lourde. Il a relevé aussi que ses antécédents étaient mauvais et démontraient que l’accusé n’avait toujours pas pris conscience de la gravité des actes qui lui étaient reprochés près de cinq ans après ses dernières condamnations en matière de stupéfiants. De plus, l’accusé est sans attache en Suisse, n’a personne à charge et n’a agi que par appât du gain. Le tribunal n’a trouvé aucune circonstance à mettre à décharge d’B.________, les regrets qu’il avait formulés aux débats lui étant apparus comme dénués de toute sincérité (cf. jgt, pp. 12 et 13). c) Contrairement à ce que laisse entendre le recourant, la lecture du jugement permet de constater que le tribunal a pris en compte l’ensemble des éléments nécessaires pour fixer la peine. On ne saurait à cet égard faire grief aux premiers juges d’avoir considéré comme dénués de toute sincérité les regrets formulés par l’accusé lors des débats. D’ailleurs, même s’ils avaient été crédibles, ces regrets n’auraient de toute façon pas pu être considérés comme relevant du repentir sincère au sens de l’art. 48 let. d CP et le recourant ne prétend pas que tel aurait dû être le cas. Enfin, s’ils sont louables, les aveux ne constituent pas en l’espèce un motif propre à justifier une réduction de la peine : l’accusé ne saurait en particulier arguer de sa bonne collaboration au regard de l’attitude qui, aux débats, a consisté à minimiser son rôle dans l’opération. En l'espèce, les premiers juges ont expliqué de façon circonstanciée pourquoi la peine prononcée à l’encontre du recourant devait être plus sévère que celle infligée à J.________. Cette appréciation échappe à tout arbitraire et satisfait aux exigences de la loi et de la jurisprudence. Le recourant ne saurait pour le surplus être suivi lorsqu’il remet en cause son rôle dans le trafic dès lors que ce point relève des faits qui, dans le cadre d’un recours en réforme, lient la cour de céans. Au vu de l’ensemble des circonstances, la peine privative de liberté de quarante-deux mois prononcée par les premiers juges n'apparaît pas arbitraire au regard des infractions commises, de la culpabilité et des antécédents de l’accusé, leur appréciation étant en tous points complète et convaincante. Le jugement doit ainsi être confirmé sur ce point. On relèvera en dernier lieu que la quotité de la peine prononcée et confirmée étant largement incompatible avec l'octroi d'un sursis partiel, le recours est sans objet lorsqu'il tend à l’octroi d'un tel sursis.</w:t>
      </w:r>
    </w:p>
    <w:p>
      <w:r>
        <w:rPr>
          <w:b/>
        </w:rPr>
        <w:t>E. 3</w:t>
      </w:r>
    </w:p>
    <w:p>
      <w:r>
        <w:t>En définitive, aucun des moyens invoqués par le recourant n’est retenu. Le recours ne peut dès lors qu’être rejeté et le jugement confirmé, les frais de deuxième instance, y compris l’indemnité allouée à son défenseur d’office, par 330 fr., étant mis à la charge du recourant. Le remboursement à l'Etat de cette indemnité sera exigible pour autant que la situation économique de l'intéressé se soit améliorée. La détention subie par B.________ depuis le jugement sera déduite.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