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260 vom 27. Januar 2010</w:t>
      </w:r>
    </w:p>
    <w:p>
      <w:r>
        <w:t>VD Tribunal cantonal, 2010-01-27, FR</w:t>
      </w:r>
    </w:p>
    <w:p>
      <w:r>
        <w:rPr>
          <w:b/>
        </w:rPr>
        <w:t xml:space="preserve">Quelle: </w:t>
      </w:r>
      <w:r>
        <w:t>https://mcp.opencaselaw.ch/entscheid/vd_findinfo_HC___2010___260</w:t>
      </w:r>
    </w:p>
    <w:p>
      <w:r>
        <w:t>FR: VD_FINDINFO HC / 2010 / 260 du 27 janvier 2010</w:t>
      </w:r>
    </w:p>
    <w:p>
      <w:r>
        <w:t>IT: VD_FINDINFO HC / 2010 / 260 del 27 gennaio 2010</w:t>
      </w:r>
    </w:p>
    <w:p>
      <w:pPr>
        <w:pStyle w:val="Heading2"/>
      </w:pPr>
      <w:r>
        <w:t>Regeste</w:t>
      </w:r>
    </w:p>
    <w:p>
      <w:r>
        <w:t>CONTRAINTE SEXUELLE, VIOL, CONTRAINTE{DROIT PÉNAL} | 181 CP, 189 al. 1 CP, 189 CP, 190 al. 1 CP, 411 CPP, 418 CPP, 418a CPP</w:t>
      </w:r>
    </w:p>
    <w:p>
      <w:pPr>
        <w:pStyle w:val="Heading2"/>
      </w:pPr>
      <w:r>
        <w:t>Erwägungen</w:t>
      </w:r>
    </w:p>
    <w:p>
      <w:r>
        <w:rPr>
          <w:b/>
        </w:rPr>
        <w:t>E. 1</w:t>
      </w:r>
    </w:p>
    <w:p>
      <w:r>
        <w:t>T.________ est plaignante dans le cadre de la présente procédure pénale. Elle a également le statut de victime. Son conseil a du reste à l’époque été désigné en qualité de conseil LAVI (loi fédérale du 23 mars 2007 sur l’aide aux victimes d’infractions, LAVI; RS 312.5; cf. pièce n° 17). Les prétentions civiles prises par l’intéressée devant le Tribunal de première instance ont été rejetées et le recours repose notamment sur cette question, de sorte que celui-ci est recevable (art. 418a CPP).</w:t>
      </w:r>
    </w:p>
    <w:p>
      <w:r>
        <w:rPr>
          <w:b/>
        </w:rPr>
        <w:t>E. 2</w:t>
      </w:r>
    </w:p>
    <w:p>
      <w:r>
        <w:t>Le recours est en nullité et en réforme. En pareil cas, il appartient à la cour de céans de déterminer la priorité d’examen des moyens invoqués (Besse Matile et Abravanel, Aperçu de jurisprudence sur les voies de recours à la Cour de cassation pénale du Tribunal cantonal vaudois, in JT 1989 III 98, spéc. 99; Bersier, Le recours à la Cour de cassation pénale du Tribunal cantonal en procédure vaudoise, in JT 1996 lII 66, spéc. p. 107; Bovay, Dupuis, Moreillon et Piguet, Procédure pénale vaudoise, Code annoté, 3 éd., Bâle 2008, n. 1.4 ad art. 411 CPP). En l’espèce, il convient d’examiner en premier lieu les moyens de nullité, ceux-ci pouvant faire apparaître des insuffisances, des lacunes ou des contradictions dans l’état de fait retenu par le tribunal (art. 411 let. h CPP). Recours en nullité</w:t>
      </w:r>
    </w:p>
    <w:p>
      <w:r>
        <w:rPr>
          <w:b/>
        </w:rPr>
        <w:t>E. 2.2</w:t>
      </w:r>
    </w:p>
    <w:p>
      <w:r>
        <w:t>p. 9).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 2a).</w:t>
      </w:r>
    </w:p>
    <w:p>
      <w:r>
        <w:rPr>
          <w:b/>
        </w:rPr>
        <w:t>E. 3</w:t>
      </w:r>
    </w:p>
    <w:p>
      <w:r>
        <w:t>Invoquant l’art. 411 let. h CPP, la recourante soutient que le jugement contient des contradictions. Elle reproche aux premiers juges d’avoir retenu qu’elle n’avait pas subi de pressions caractérisées et d’avoir par conséquent écarté l’application de l’art. 190 CP, tout en admettant qu’une pression avait été exercée et que l’intimé n’avait pas tenu compte des réticences et des refus de son épouse.</w:t>
      </w:r>
    </w:p>
    <w:p>
      <w:r>
        <w:rPr>
          <w:b/>
        </w:rPr>
        <w:t>E. 3.1</w:t>
      </w:r>
    </w:p>
    <w:p>
      <w:r>
        <w:t>S’agissant d’un recours en nullité fondé sur l’art. 411 let. h ou i CPP, il sied de rappeler en préambule que le tribunal de première instance établit souverainement les faits selon sa conviction, en appréciant tous les éléments d’instruction réunis en cours d’enquête et Iors des débats et en exposant de façon claire et complète les circonstances qu’il retient (art. 365 al. 2 et 372 al. 2 let. a CPP; Bovay/Dupuis/MonnierlMoreillon/Piguet, Procédure pénale vaudoise, Code annoté, 3e éd., Lausanne 2008, n. 10.2 ad art. 411 CPP et les réf. cit.). La Cour de cassation n’étant pas une juridiction d’appel, le moyen de nullité tiré de l’art. 411 let. h ou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19 septembre 2000, n° 504; CCASS, 14 septembre 2000, n° 494; JT 1999 I 83, c. 6b; Besse-Matile/Abravanel, Aperçu de jurisprudence sur les voies de recours à la Cour de cassation pénale du Tribunal cantonal vaudois, in JT 1989 III 98ss, p. 103).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Le recours à la Cour de cassation pénale du Tribunal cantonal en procédure vaudoise, in JT 1996 III 66 ss,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(ibid.).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w:t>
      </w:r>
    </w:p>
    <w:p>
      <w:r>
        <w:rPr>
          <w:b/>
        </w:rPr>
        <w:t>E. 3.2</w:t>
      </w:r>
    </w:p>
    <w:p>
      <w:r>
        <w:t>L’intimé niant les accusations de viol et de contrainte sexuelle portées à son encontre par son épouse, le Tribunal correctionnel a constaté qu’il ne disposait que de peu d’éléments pour se faire une opinion. Il a admis que l’accusé avait une certaine emprise sur son épouse. Il a toutefois relevé qu’il n’apparaissait pas que ce dernier aurait usé de menaces, de violence ou encore de pressions spécifiques pour parvenir à ses fins, ni que la recourante aurait été mise hors d’état de résister. Il a souligné qu’aucune preuve n'attestait de violence d’ordre physique. Au regard des éléments dont ils disposaient, les premiers juges ont conclu que le comportement de l’intimé n’était pas suffisamment caractérisé pour relever du droit pénal, tout en reconnaissant qu’une certaine forme de pression avait été exercée, sans tenir compte des réticences pourtant légitimes de la plaignante, en particulier lorsque celle-ci souffrait de problèmes de santé. Ainsi, au regard de la motivation précitée, l’autorité de première instance a admis une certaine pression, tout en reconnaissant que celle-ci n’était pas suffisamment caractérisée pour constituer l’un des moyens de contrainte au sens des art. 189 et 190 CP. On ne discerne là aucune contradiction dans les faits contenus dans le même jugement. Il s’agit en réalité d’un raisonnement juridique. En effet, qu’il y ait eu une certaine pression constitue une constatation de fait; en revanche, la question de savoir si celle-ci est suffisante relève de l’appréciation juridique, laquelle ne peut être contestée que par le biais d’un recours en réforme. Le grief doit par conséquent être écarté. Recours en réforme</w:t>
      </w:r>
    </w:p>
    <w:p>
      <w:r>
        <w:rPr>
          <w:b/>
        </w:rPr>
        <w:t>E. 4</w:t>
      </w:r>
    </w:p>
    <w:p>
      <w:r>
        <w:t>Saisie d’un recours en réforme, la cour de céans examine librement les questions de droit sans être limitée aux moyens que les parties invoquent (art. 447 al. 1 er CPP). Elle est cependant liée par les faits constatés dans le jugement attaqué, sous réserve des inadvertances manifestes, inexistantes en l’espèce, qu’elle rectifie d’office (art. 447 al. 2 CPP).</w:t>
      </w:r>
    </w:p>
    <w:p>
      <w:r>
        <w:rPr>
          <w:b/>
        </w:rPr>
        <w:t>E. 5</w:t>
      </w:r>
    </w:p>
    <w:p>
      <w:r>
        <w:t>La recourante conteste l’acquittement de l’intimé des chefs d’accusation visés par les art. 190, 189 et 181 CP.</w:t>
      </w:r>
    </w:p>
    <w:p>
      <w:r>
        <w:rPr>
          <w:b/>
        </w:rPr>
        <w:t>E. 5.1</w:t>
      </w:r>
    </w:p>
    <w:p>
      <w:r>
        <w:t>a) Conformément à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Selon l’art. 190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Les moyens de contrainte sont les mêmes en cas de viol (art. 190 CP) et de contrainte sexuelle (art. 189 CP). Ces deux délits de violence peuvent être réalisés par l’instrumentalisation de liens sociaux constituant une contrainte d’ordre psychique (“violence structurelle”). La situation doit être telle que la soumission de la victime apparaît compréhensible. L’exploitation de rapports généraux de dépendance ou d’amitié ne suffit en règle générale pas pour admettre une pression psychologique au sens des art. 189 al. 1 ou 190 al. 1 CP.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(ATF 131 IV 107 c. 2.2, p. 109 et 2.4 p. 111 s.). Sous réserve de la résistance accrue d’un adulte en pleine possession de ses facultés, les mêmes principes valent que la victime soit adulte ou enfant (ATF 126 IV 124 c. 3d p. 130). Pour déterminer si l’on se trouve en présence d’un viol ou d’une contrainte sexuelle, il faut procéder à une appréciation globale des circonstances concrètes déterminantes. Une appréciation individualisée est nécessaire, laquelle doit reposer sur des éléments suffisamment typiques (ATF 128 IV 97 c. 2b p. 99, 106 c. 3a/bb p. 111; 124 IV 154 c. 3b p. 159). La mesure de l’influence qui doit avoir été exercée sur la victime pour qu’il y ait pression d’ordre psychique n’est pas aisément déterminable, de sorte qu’il y a lieu de se montrer prudent dans l’application des dispositions pénales réprimant les infractions précitées (cf. ATF 128 IV 97 c. 2b p. 99,106 c. 3b/aa p. 111). b) L'art. 181 CP réprime le comportement de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 2b; 106 IV 125 c. 2a) ni que l’auteur ait réellement la volonté de réaliser sa menace (ATF 105 IV 120 c. 2a). Il peut également y avoir contrainte lorsque l’auteur entrave sa victime “de quelque autre manière” dans sa liberté d’action. Cette formule générale doit être interprétée de manière restrictive (ATF 129 IV 6 c.</w:t>
      </w:r>
    </w:p>
    <w:p>
      <w:r>
        <w:rPr>
          <w:b/>
        </w:rPr>
        <w:t>E. 5.2</w:t>
      </w:r>
    </w:p>
    <w:p>
      <w:r>
        <w:t>La recourante soutient avoir été mise hors d’état de résister et ainsi contrainte à subir l’acte sexuel. Elle affirme que sa volonté a été annihilée par son mari, soit par l’emploi de la violence, notamment en déchirant ses habits, soit encore par des pressions exercées sur elle ou simplement parce qu’elle savait que toute résistance serait inutile et que l’intimé parviendrait de toute manière à ses fins. Pour l’essentiel, l'argumentation de la recourante est appellatoire. En effet, elle repose très largement sur la propre version des faits de la recourante, laquelle version n’a pas été retenue par les premiers juges. Pour le reste, il résulte des constatations de fait que l’intimé a usé d’une certaine forme de pression et que la recourante a parfois émis des réticences en particulier lorsqu’elle souffrait de problèmes de santé. Toutefois, l’intimé n’a pas usé de menaces, de violence ou encore de pressions spécifiques pour parvenir à ses fins concernant les relations sexuelles et la recourante n’a pas été mise hors d’état de résister. Au regard de ces constatations, au sujet desquelles aucun arbitraire n’est ni allégué, ni démontré conformément aux exigences posées par les art. 411 let. i et h CPP, on ne saurait reprocher au Tribunal correctionnel d’avoir jugé qu’il n’existait pas de prévention pénale suffisante quant aux infractions précitées, la contrainte exercée, et plus particulièrement la pression d’ordre psychologique utilisée, n’étant pas suffisamment caractérisée pour entrer dans la définition des normes pénales susmentionnées. Ce grief doit donc également être rejeté.</w:t>
      </w:r>
    </w:p>
    <w:p>
      <w:r>
        <w:rPr>
          <w:b/>
        </w:rPr>
        <w:t>E. 6</w:t>
      </w:r>
    </w:p>
    <w:p>
      <w:r>
        <w:t>La recourante prend des conclusions civiles par 20'000 francs. Elle soutient, d’une part, que l’infraction de contrainte justifie déjà l’allocation d’un montant. Elle affirme, d’autre part, avoir droit à une réparation en raison des infractions sexuelles subies (cf. p. 5 de son recours).</w:t>
      </w:r>
    </w:p>
    <w:p>
      <w:r>
        <w:rPr>
          <w:b/>
        </w:rPr>
        <w:t>E. 6.1</w:t>
      </w:r>
    </w:p>
    <w:p>
      <w:r>
        <w:t>Conformément à l'art. 49 CO, [Code des obligations; Loi fédérale du 30 mars 1911 complétant le Code civil suisse (livre 5 ème droit des obligations), RS 220], celui qui subit une atteinte illicite à sa personnalité a droit à une somme d'argent à titre de réparation morale, pour autant que la gravité de l'atteinte le justifie et que l'auteur ne lui ait pas donné satisfaction autrement (al.1). Pour trancher la question de savoir si la recourante a droit à une indemnité pour tort moral selon l’art. 49 CO, il convient de s’inspirer des règles jurisprudentielles déduites de la législation sur l’aide aux victimes d’infractions, à savoir la nouvelle loi fédérale du 23 mars 2007 sur l’aide aux victimes d’infractions (LAVI; RS 312.5), en vigueur depuis le 1 er janvier 2009 et abrogeant l’ancienne loi fédérale du 4 octobre 1991 sur le même objet au 31 décembre 2008. La qualité de victime LAVI est généralement niée en matière d’infraction contre la liberté, en particulier en cas de contrainte, de menace ou d’extorsion et chantage (cf., sous l’empire de l’ancienne loi, ATF 120 la 157 c. 2d/aa, JT 1996 IV 128; Mizel, La qualité de victime LAVI et la mesure actuelle des droits qui en découlent, JT 2003 IV 38 ss, spéc. p. 59, ch. 37). Dans ce domaine, le lésé ne peut se voir reconnaître le statut de victime LAVI que si les circonstances particulières de l’espèce permettent de conclure à l’existence d’une atteinte directe à son intégrité psychique, ce qui suppose, non un fait causant un trouble passager, mais un événement extraordinaire et traumatisant, ayant des suites psychiques qui persistent au moins un certain temps (cf. ATF 120 la 157 op. cit. c. 2d/aa p. 163).</w:t>
      </w:r>
    </w:p>
    <w:p>
      <w:r>
        <w:rPr>
          <w:b/>
        </w:rPr>
        <w:t>E. 6.2</w:t>
      </w:r>
    </w:p>
    <w:p>
      <w:r>
        <w:t>L'argumentation de la recourante doit être rejetée dans la mesure où elle repose sur l'admission de griefs formulés ci-dessus, lesquels ont été rejetés (cf. supra c. 5). Au demeurant, en ce qui concerne la contrainte retenue par le Tribunal correctionnel, la recourante ne prétend pas, ni ne démontre, par la production de documents, tel qu’un certificat médical, une atteinte significative à sa personnalité du fait de cette infraction, alors qu’il lui incombait de prouver son dommage. Partant, c’est à juste titre que les premiers juges ont refusé l’octroi d’une indemnité pour tort moral, étant précisé que, d'après la jurisprudence citée, de simples désagréments ne suffisent pas pour parler d’atteinte profonde ou prolongée au bien-être qui justifierait réparation.</w:t>
      </w:r>
    </w:p>
    <w:p>
      <w:r>
        <w:rPr>
          <w:b/>
        </w:rPr>
        <w:t>E. 7</w:t>
      </w:r>
    </w:p>
    <w:p>
      <w:r>
        <w:t>Sur le vu de ce qui précède, le recours doit rejeté, dans la mesure de sa recevabilité. La recourante, qui succombe, supportera les frais de deuxième instance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