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259 vom 27. Januar 2010</w:t>
      </w:r>
    </w:p>
    <w:p>
      <w:r>
        <w:t>VD Tribunal cantonal, 2010-01-27, FR</w:t>
      </w:r>
    </w:p>
    <w:p>
      <w:r>
        <w:rPr>
          <w:b/>
        </w:rPr>
        <w:t xml:space="preserve">Quelle: </w:t>
      </w:r>
      <w:r>
        <w:t>https://mcp.opencaselaw.ch/entscheid/vd_findinfo_HC___2010___259</w:t>
      </w:r>
    </w:p>
    <w:p>
      <w:r>
        <w:t>FR: VD_FINDINFO HC / 2010 / 259 du 27 janvier 2010</w:t>
      </w:r>
    </w:p>
    <w:p>
      <w:r>
        <w:t>IT: VD_FINDINFO HC / 2010 / 259 del 27 gennaio 2010</w:t>
      </w:r>
    </w:p>
    <w:p>
      <w:pPr>
        <w:pStyle w:val="Heading2"/>
      </w:pPr>
      <w:r>
        <w:t>Regeste</w:t>
      </w:r>
    </w:p>
    <w:p>
      <w:r>
        <w:t>REPENTIR SINCÈRE, FIXATION DE LA PEINE, IRRESPONSABILITÉ FAUTIVE | 48 let. d CP, 411 let. h CPP, 411 let. i CPP, 433a al. 1 CPP, 447 al. 1 CPP, 447 al. 2 CPP</w:t>
      </w:r>
    </w:p>
    <w:p>
      <w:pPr>
        <w:pStyle w:val="Heading2"/>
      </w:pPr>
      <w:r>
        <w:t>Erwägungen</w:t>
      </w:r>
    </w:p>
    <w:p>
      <w:r>
        <w:rPr>
          <w:b/>
        </w:rPr>
        <w:t>E. 1</w:t>
      </w:r>
    </w:p>
    <w:p>
      <w:r>
        <w:t>Le recours est en nullité et en réforme. En pareil cas, il appartient à la cour de céans de déterminer la priorité d’examen des moyens invoqués (Besse 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éd., Bâle 2008, n. 1.4 ad art. 411 CPP). En l’espèce, il convient d’examiner en premier lieu les moyens de nullité, ceux-ci pouvant faire apparaître des doutes sur l’existence des faits admis et importants pour le jugement de la cause. Recours en nullité</w:t>
      </w:r>
    </w:p>
    <w:p>
      <w:r>
        <w:rPr>
          <w:b/>
        </w:rPr>
        <w:t>E. 2</w:t>
      </w:r>
    </w:p>
    <w:p>
      <w:r>
        <w:t>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Bovay/Dupuis/Monnier/Moreillon/Piguet, Procédure pénale vaudoise, Code annoté, 3e éd., Lausanne 2008, n. 10.2 ad art. 411 CPP et les réf. cit.). La Cour de cassation n’étant pas une juridiction d’appel, le moyen de nullité tiré de l’art. 411 let h ou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ss,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(ibid.).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 45). Tel n’est pas le cas lorsque le premier juge n’a méconnu aucun des éléments de l’instruction et que, pour fixer le point litigieux, on ne peut que s’en référer à son appréciation. Il ne suffit pas non plus qu’une solution différente puisse être tenue pour également concevable, ou apparaisse même préférable (ATF 126 I 168, c. 3a; ATF 125 I 166, c. 2a).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 Matile/Abravanel, op. cit., p. 104 et les réf. cit.).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3</w:t>
      </w:r>
    </w:p>
    <w:p>
      <w:r>
        <w:t>Invoquant l’art. 411 let. h CPP, le recourant voit une antinomie dans le fait que le Tribunal ait retenu, d’une part, qu’il n’apparaissait pas vouloir assumer entièrement sa responsabilité et, d’autre part, qu’il avait immédiatement remboursé le lésé. Contrairement à l’appréciation de l’intéressé, on ne discerne aucune contradiction dans les faits précités. En effet, si le recourant a immédiatement réparé le dommage causé, ce qui démontre certes une prise de conscience du caractère illicite de l’acte commis, il a toutefois également cherché, lors des débats, à se disculper en invoquant une irresponsabilité totale due à l’alcool. Le fait de réparer le dommage et de se rendre compte de l’illicéité de son comportement n’exclut pas la volonté de ne pas vouloir assumer toute la responsabilité de ses actes. Mal fondé, le grief doit par conséquent être rejeté.</w:t>
      </w:r>
    </w:p>
    <w:p>
      <w:r>
        <w:rPr>
          <w:b/>
        </w:rPr>
        <w:t>E. 4</w:t>
      </w:r>
    </w:p>
    <w:p>
      <w:r>
        <w:t>Invoquant l’art. 411 let. h CPP, le recourant reproche au premier juge de ne pas avoir retenu qu’il se trouvait, au moment du vol, seul dans une salle fermée par un rideau. Il explique qu'il n'avait donc pas, dans ces circonstances, à agir rapidement ou avec une discrétion particulière, comme l’a retenu le Tribunal de police. Le premier juge s'est borné à retenir, en faits, qu'R.________ avait pénétré dans la pièce adjacente, ouvert la caisse qui s'y trouvait, et dérobé l'argent contenu, soit 1'000 francs. En droit, il a considéré que l'accusé avait dérobé subrepticement de l'argent, agissant efficacement et rapidement pour repérer la caissette, l'ouvrir et faire main basse sur l'argent, procédé qui n'était pas celui d'une personne agissant en état d'irresponsabilité totale. Or bien que cette motivation soit suffisante pour permettre à l'accusé de se rendre compte de la portée de la décision et l'attaquer en connaissance de cause, la cour de céans constate que l'état de fait retenu par le premier juge est trop succinct. A cet égard, il sied de rappeler que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La cour de céans est en mesure de compléter l'état de fait en se référant aux éléments qui résultent clairement des pièces du dossier, soit, en particulier, du rapport établi par la Police cantonale le 13 octobre 2009 (pièce no 5, p. 3), selon lequel "[…] alors que M. R.________ se trouvait dans la discothèque […], il a profité d'un moment d'inattention du personnel de surveillance pour pénétrer dans une pièce non exploitée ce soir-là, fermée par des rideaux. Il a ensuite ouvert la caisse enregistreuse, a pris l'argent qui s'y trouvait, puis a quitté les lieux." Sur la base de l'état de fait ainsi complété, il apparaît que l’accusé a été capable de dérober subrepticement de l’argent, agissant efficacement et rapidement pour repérer la caissette se trouvant dans une pièce adjacente, l’ouvrir et faire main basse sur l’agent avant de quitter les lieux. Le premier juge a considéré que ce procédé n’était pas celui de quelqu’un agissant en état d’irresponsabilité. Cette appréciation n’est pas arbitraire et le fait allégué par le recourant, selon lequel il s’était retrouvé seul dans une salle fermée par un rideau n’est pas de nature à la modifier. En effet, lors de la commission de l’infraction, le recourant devait de toute évidence agir vite et de manière efficace, puisqu’il devait s’attendre en tout temps à être surpris dans le local, un rideau ne faisant d’ailleurs pas autant de bruit qu’une porte. De plus, le jugement parle d'une "pièce adjacente", ce qui sous-entend, la volonté d'y pénétrer. Le grief est par conséquent infondé. Il doit être rejeté.</w:t>
      </w:r>
    </w:p>
    <w:p>
      <w:r>
        <w:rPr>
          <w:b/>
        </w:rPr>
        <w:t>E. 5</w:t>
      </w:r>
    </w:p>
    <w:p>
      <w:r>
        <w:t>Se prévalant de l’art. 411 let. i CPP, le recourant critique le choix du Tribunal de première instance de s’en tenir à une quantité d’alcool engendrant un taux d’alcoolémie de 2 g ‰. Il estime qu’il existe un doute sérieux quant à la quantité d’alcool qu’il aurait absorbée le soir en question, et que le juge aurait donc dû, à ce sujet, s’en tenir aux indications des témoins. a) Une personne présentant un taux d’alcoolémie dans le sang de 3 g‰ et plus doit être considérée comme totalement irresponsable. Entre 2 et 3 g ‰ sa responsabilité sera en règle générale diminuée, alors qu’en dessous de 2 g ‰ on admettra en principe une responsabilité pleine et entière. II ne s’agit cependant que d’une présomption (réfragable) qui peut être renversée en raison d’indices contraires (ATF 122 IV 49 c. lb p. 50; 119 IV 120 c. 2b p. 123 IV 292 c. 2d p. 296 s.). b) A l’audience de jugement, la défense, plaidant l'irresponsabilité, a fait entendre deux témoins attestant que l’accusé avait consommé avec un copain environ une bouteille et demi de whisky durant la soirée incriminée. Le Tribunal de police a écarté ces témoignages pour plusieurs motifs. D’une part, il s’agissait de copains de l’accusé qui avaient manifestement témoigné par complaisance. D’autre part, ces témoins s’étaient contredits sur le prix de la bouteille de whisky achetée. Enfin, la consommation alléguée correspondait comme par hasard au taux fatidique permettant d’envisager une irresponsabilité totale. Se fondant sur le procédé utilisé par le recourant pour commettre l’infraction, le Tribunal de première instance a considéré que ce dernier n’avait pas agi en état d’irresponsabilité et a donc écarté le taux allégué de 3 g ‰. Il a toutefois reconnu que l’intéressé était sous l’influence d’une quantité importante d’alcool et a par conséquent admis une diminution de responsabilité. Ainsi, le premier juge a exposé, de manière claire et précise, les motifs pour lesquels il a écarté les témoignages faits en audience et donc le taux d’alcoolémie allégué, ainsi que les raisons pour lesquelles il retenait un taux inférieur à 3 g ‰. Dans son écriture, le recourant ne critique aucunement les motifs retenus ci-dessus, ni ne démontre aucun arbitraire dans l’appréciation des preuves et les faits finalement retenus. Par ailleurs, le recourant n’invoque aucun élément du dossier qui pourrait indiquer qu’il aurait présenté des signes extérieurs d’une alcoolémie aussi élevée, alors que le taux dont il se prévaut se manifeste généralement par le fait que la personne titube, vomit, effectue des mouvements désordonnés ou encore a de la difficulté à s’orienter. Ainsi, aucun élément ne permet d’affirmer qu’au moment des faits, le recourant souffrait d’une alcoolémie telle que sa faculté d’apprécier le caractère illicite de ses actes ou de se déterminer d’après cette appréciation était entièrement altérée. Au contraire, sa manière rapide et efficace de procéder (cf. pièce no 5 précitée) ne permet pas d'aboutir à une autre conclusion. Sur le vu de ce qui précède, le grief doit être rejeté. Recours en réforme</w:t>
      </w:r>
    </w:p>
    <w:p>
      <w:r>
        <w:rPr>
          <w:b/>
        </w:rPr>
        <w:t>E. 6</w:t>
      </w:r>
    </w:p>
    <w:p>
      <w:r>
        <w:t>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w:t>
      </w:r>
    </w:p>
    <w:p>
      <w:r>
        <w:rPr>
          <w:b/>
        </w:rPr>
        <w:t>E. 7</w:t>
      </w:r>
    </w:p>
    <w:p>
      <w:r>
        <w:t>Invoquant une violation de l'art. 48 CP, le recourant reproche au Juge de police de ne pas avoir tenu compte de la circonstances atténuante du repentir sincère.</w:t>
      </w:r>
    </w:p>
    <w:p>
      <w:r>
        <w:rPr>
          <w:b/>
        </w:rPr>
        <w:t>E. 8</w:t>
      </w:r>
    </w:p>
    <w:p>
      <w:r>
        <w:t>a) Selon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c.1). Le seul fait qu’un délinquant ait passé aux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b) Le premier juge ne s’est pas expressément prononcé sur l’application de la disposition précitée. En l’occurrence, on peut compléter l’état de fait du jugement entrepris, par application analogique de l’art. 433a CPP, ainsi que la Cour de cassation est habilitée à le faire dans le cadre d’un recours en réforme, lorsqu’il s’agit de tenir compte d’éléments qui ne figurent pas dans le jugement et sur lesquels le premier juge ne s’est pas prononcé, mais qui résultent clairement du dossier (Bovay et alii, n. 6 ad 433a et n. 3.1 ad art. 447 CPP). Ainsi, selon le rapport de la police cantonale du 13 octobre 2009, le lundi 1 er juin 2009, vers 01 heure 20, un individu a été filmé par les caméras de surveillance du Club [...], à Montreux, alors qu’il dérobait l’argent contenu dans le tiroir caisse enregistreuse, pour un butin s’élevant à 1'000 fr. environ. L’intéressé a aussitôt quitté les lieux et le personnel de l’établissement ne s’est aperçu du méfait que plus tard dans la nuit. Dès lors, le directeur de l’établissement a déposé une plainte pénale. Des renseignements obtenus après coup auprès du directeur du Club, il ressort que l’auteur du vol est venu rendre l’argent, en fin de journée, au personnel de la discothèque. En effet, il ressort que l’un des agents de sécurité, qui souhaite garder l’anonymat, a reconnu l'intéressé sur les vidéos et est parvenu à entrer en contact avec ce dernier, le convainquant de restituer le butin (pièce n° 5 p. 3). Certes, le recourant a immédiatement remboursé le lésé et ainsi pris conscience du caractère illicite de ses actes, éléments dont il a été tenu compte, à décharge, dans le cadre de l’appréciation de la peine (cf. jugement p. 5, chiffre 5). Reste que, selon les faits précités, l’intéressé n’a pas agi de manière spontanée ou de son propre mouvement. En effet, d’une part, il a été filmé, puis reconnu sur les vidéos de surveillance du Club. D’autre part, l’un des agents de sécurité l’a appelé pour le convaincre de rembourser la somme volée. De plus, selon les faits retenus, le recourant ne paraît pas vouloir assumer entièrement sa responsabilité, dès lors qu’il se prévaut de l’influence de l’alcool et d’un taux d’alcoolémie de 3 g ‰. Au regard de ces éléments, la circonstance atténuante du repentir sincère ne saurait être retenue. Mal fondé, le grief soulevé doit être rejeté. c) Pour le reste, la condamnation pour vol n’est, avec raison, pas contestée et la peine infligée a été fixée sur la base de critères pertinents, sans que l’on ne discerne d’éléments qui auraient été omis ou pris en considération à tort. La sanction n’est pas non plus à ce point sévère qu’elle doive être qualifiée d’abusive.</w:t>
      </w:r>
    </w:p>
    <w:p>
      <w:r>
        <w:rPr>
          <w:b/>
        </w:rPr>
        <w:t>E. 9</w:t>
      </w:r>
    </w:p>
    <w:p>
      <w:r>
        <w:t>En conclusion, le recours doit être rejeté en application de l'art. 431 al. 2 CPP et le jugement confirmé. Vu l'issue du recours, les frais de deuxième instance sont mis à la charge du recourant (art. 450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