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256 vom 30. März 2010</w:t>
      </w:r>
    </w:p>
    <w:p>
      <w:r>
        <w:t>VD Tribunal cantonal, 2010-03-30, FR</w:t>
      </w:r>
    </w:p>
    <w:p>
      <w:r>
        <w:rPr>
          <w:b/>
        </w:rPr>
        <w:t xml:space="preserve">Quelle: </w:t>
      </w:r>
      <w:r>
        <w:t>https://mcp.opencaselaw.ch/entscheid/vd_findinfo_HC___2010___256</w:t>
      </w:r>
    </w:p>
    <w:p>
      <w:r>
        <w:t>FR: VD_FINDINFO HC / 2010 / 256 du 30 mars 2010</w:t>
      </w:r>
    </w:p>
    <w:p>
      <w:r>
        <w:t>IT: VD_FINDINFO HC / 2010 / 256 del 30 marzo 2010</w:t>
      </w:r>
    </w:p>
    <w:p>
      <w:pPr>
        <w:pStyle w:val="Heading2"/>
      </w:pPr>
      <w:r>
        <w:t>Regeste</w:t>
      </w:r>
    </w:p>
    <w:p>
      <w:r>
        <w:t>DÉFAUT{CONTUMACE}, CONSTATATION DES FAITS, JUGEMENT PAR DÉFAUT | 306 al. 2 CPC</w:t>
      </w:r>
    </w:p>
    <w:p>
      <w:pPr>
        <w:pStyle w:val="Heading2"/>
      </w:pPr>
      <w:r>
        <w:t>Erwägungen</w:t>
      </w:r>
    </w:p>
    <w:p>
      <w:r>
        <w:rPr>
          <w:b/>
        </w:rPr>
        <w:t>E. 1</w:t>
      </w:r>
    </w:p>
    <w:p>
      <w:r>
        <w:t>Les art. 444, 447 et 451 ch. 4 CPC ouvrent la voie des recours en nullité et en réforme – dans la mesure pour ce dernier où la valeur litigieuse dépasse 1'000 fr. – contre les jugements principaux rendus par un juge de paix. Le recours, interjeté en temps utile, est ainsi recevable.</w:t>
      </w:r>
    </w:p>
    <w:p>
      <w:r>
        <w:rPr>
          <w:b/>
        </w:rPr>
        <w:t>E. 2</w:t>
      </w:r>
    </w:p>
    <w:p>
      <w:r>
        <w:t>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Il a été complété sur la base de celui-ci. Le recourant conteste avoir signé le bulletin de livraison du 23 juin 2008 (pièce n° 5 du bordereau de la demanderesse). Cette pièce ne comprend en effet aucune signature reconnaissable du recourant. Toutefois, comme on le verra, cet élément n'est pas déterminant.</w:t>
      </w:r>
    </w:p>
    <w:p>
      <w:r>
        <w:rPr>
          <w:b/>
        </w:rPr>
        <w:t>E. 3</w:t>
      </w:r>
    </w:p>
    <w:p>
      <w:r>
        <w:t>Le recourant fait valoir que le courriel du 11 juin 2008 n'établit pas une relation contractuelle, que celui du 23 décembre 2008 ne fait aucune référence à une facture, une livraison, une prestation ou un délai spécifique et qu'il n'a pas signé de bulletin de livraison. Selon l'art. 306 al. 1 CPC, applicable en procédure ordinaire devant le juge de paix par renvoi de l'art. 334 al. 1 CPC, en cas de défaut d'une partie à l'audience préliminaire, le juge statue sur la cause en l'état où elle se trouve, si la partie présente le requiert. Les faits allégués par la partie présente sont réputés vrais dans la mesure où le contraire ne résulte pas du dossier (art. 306 al. 2 CPC). En l'espèce, dès lors que le recourant a fait défaut en première instance, le premier juge était fondé, vu la règle de l'art. 306 al. 2 CPC, à tenir pour vrais les allégués de l'intimée relatifs à la location par le recourant du matériel litigieux et à la remise au recourant de ce matériel. En effet, si les courriels au dossier et le bulletin de livraison du 23 juin 2008 n'établissent pas formellement l'existence d'une relation contractuelle entre les parties, ils ne l'infirment pas; au contraire, ils constituent des indices en faveur de la thèse de l'intimée. Le contrat de bail à loyer en cause, portant sur du matériel cinématographique, était régi par les art. 253 ss CO (Code des obligations du 30 mars 1910; RS 220). Il n'était donc soumis à aucune forme, pouvant être oral ou tacite (ATF 119 III 78 c. 3c; JT 1995 II 114; Lachat, Commentaire romand, 2003, n. 24 ad art. 253 CO, p. 1312). L'absence d'un contrat écrit ne rend donc pas celui-ci invalide. L'art. 306 al. 2 CPC permettait en outre de considérer comme établie la quotité de la facture alléguée, dite quotité n'étant pas contredite par les pièces du dossier. Au vu de ce qui précède, c'est à juste titre que le premier juge a admis l'action de la demanderesse et le recours ne peut qu'être rejeté.</w:t>
      </w:r>
    </w:p>
    <w:p>
      <w:r>
        <w:rPr>
          <w:b/>
        </w:rPr>
        <w:t>E. 4</w:t>
      </w:r>
    </w:p>
    <w:p>
      <w:r>
        <w:t>En conclusion, le recours doit être rejeté en application de l'art. 465 al. 1 CPC et le jugement confirmé. Les frais de deuxième instance du recourant sont arrêtés à 300 fr. (art. 230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D.________ sont arrêtés à 300 fr. (trois cents francs). IV. L'arrêt motivé est exécutoire. Le président :               Le greffier : Du 30 mars 2010 Le dispositif de l'arrêt qui précède est communiqué par écrit aux intéressés. Le greffier : Du L'arrêt qui précède, dont la rédaction a été approuvée à huis clos, est notifié en expédition complète, par l'envoi de photocopies, à : ‑ M. D.________, ‑ M. Christophe Savoy (pour Z.________). La Chambre des recours considère que la valeur litigieuse est de 3'945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