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249 vom 4. Februar 2010</w:t>
      </w:r>
    </w:p>
    <w:p>
      <w:r>
        <w:t>VD Tribunal cantonal, 2010-02-04, FR</w:t>
      </w:r>
    </w:p>
    <w:p>
      <w:r>
        <w:rPr>
          <w:b/>
        </w:rPr>
        <w:t xml:space="preserve">Quelle: </w:t>
      </w:r>
      <w:r>
        <w:t>https://mcp.opencaselaw.ch/entscheid/vd_findinfo_HC___2010___249</w:t>
      </w:r>
    </w:p>
    <w:p>
      <w:r>
        <w:t>FR: VD_FINDINFO HC / 2010 / 249 du 4 février 2010</w:t>
      </w:r>
    </w:p>
    <w:p>
      <w:r>
        <w:t>IT: VD_FINDINFO HC / 2010 / 249 del 4 febbraio 2010</w:t>
      </w:r>
    </w:p>
    <w:p>
      <w:pPr>
        <w:pStyle w:val="Heading2"/>
      </w:pPr>
      <w:r>
        <w:t>Regeste</w:t>
      </w:r>
    </w:p>
    <w:p>
      <w:r>
        <w:t>DIVORCE, OBLIGATION D'ENTRETIEN, PARTAGE{SENS GÉNÉRAL} | 122 CC, 125 CC, 138 CC, 142 CC, 452 CPC</w:t>
      </w:r>
    </w:p>
    <w:p>
      <w:pPr>
        <w:pStyle w:val="Heading2"/>
      </w:pPr>
      <w:r>
        <w:t>Erwägungen</w:t>
      </w:r>
    </w:p>
    <w:p>
      <w:r>
        <w:rPr>
          <w:b/>
        </w:rPr>
        <w:t>E. 3</w:t>
      </w:r>
    </w:p>
    <w:p>
      <w:r>
        <w:t>et 4) que les charges mensuelles de la recourante s'élèvent à 3'460 fr. 50 (soit 1’680 fr. de loyer, 60 fr. pour une place de parc, 220 fr. 50 de prime d'assurance maladie, 200 fr. de franchise de l'assurance maladie, 200 fr. de frais de déplacement et 1'100 fr. de minimum vital pour une personne seule) et celles de l'intimé se montent à 6'336 fr. 40 (soit 1'994 fr. 10 d'intérêts hypothécaires, 600 fr. de charges liées au domicile, 542 fr. 30 de prime d'assurance maladie, 400 fr. de frais de déplacement , 1'700 fr. de frais de téléphone et 1'100 fr. de minimum vital pour une personne). La recourante, au chômage depuis le 31 décembre 2009, n'a apparemment pas retrouvé d'emploi. Quant à l'intimé, il travaille au service de la société [...] et réalise un salaire mensuel net de 12'570 fr. 20. Lors du jugement de divorce, les revenus nets cumulés des parties dépassaient 16'000 fr. ce qui, compte tenu de leurs charges fixes, leur garantissaient un train de vie relativement confortable. Cependant, le maintien du standard de vie des époux ne peut pas être pris en considération dans la mesure où le mariage a duré moins de quatre ans et qu'il n'est pas présumé avoir influencé concrètement la situation de l'épouse créancière. Le partage des excédents n’est pas envisageable non plus, pour le même motif. Il faut donc se référer aux besoins concrets de la recourante qui s'élèvent, comme déjà dit, à 3'460 fr., montant auquel il faut ajouter 100 fr. pour tenir compte de la récente adaptation des minima vitaux LP. La recourante, qui est au chômage, doit percevoir des indemnités chômage et rien ne permet de considérer qu’elle ne pourra pas retravailler. Dans ces circonstances, en accord avec les premiers juges, il convient d'allouer à la recourante une pension de 1'500 fr. jusqu'au 30 juin 2012 afin de subvenir à son entretien convenable et favoriser son installation dans son nouveau statut. L'état de santé de la recourante ne crée pas en l'occurrence une situation qui imposerait l'octroi d'une contribution plus élevée et de plus longue durée. Le moyen est mal fondé et doit être rejeté.</w:t>
      </w:r>
    </w:p>
    <w:p>
      <w:r>
        <w:rPr>
          <w:b/>
        </w:rPr>
        <w:t>E. 4</w:t>
      </w:r>
    </w:p>
    <w:p>
      <w:r>
        <w:t>La recourante demande que le montant que doit lui verser l'intimé à titre de partage de prestations de sortie de la prévoyance professionnelle soit augmenté de 72'195 fr. à 88'487 francs. A défaut d'accord entre les conjoints (ou de ratification de leur convention par le juge), le système prévu par le législateur aux art. 122 al. 1 et 142 CC pour le partage des prestations de sortie en cas de divorce implique l'intervention et la compétence successives du juge de divorce et du juge des assurances sociales. Il appartient tout d'abord au juge du divorce de régler le sort de la prévoyance professionnelle des époux. Il lui incombe d'examiner si les conjoints disposent d'un droit à une prestation de sortie à l'égard d'une institution de prévoyance, l'application de l'art. 122 al. 1 CC présupposant qu'un époux (au moins) dispose d'un tel droit (ATF 130 III 297 c. 3.3 p. 299). Si tel est le cas, il doit fixer les proportions dans lesquelles les prestations de sortie doivent être partagées (art. 142 al. 1 CC).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(ATF 133 V 147, SJ 2007 538; CREC II, 2 octobre 2008, no 181/II c. 3). En conséquence, les premiers juges ont à tort calculé le montant qui devait être transféré par l'institution de prévoyance de l'intimé à la recourante. Ils devaient tout au plus dire si un partage s’imposait par moitié ou selon un autre mode (les parties étant au demeurant d'accord sur le principe du partage par moitié), puis renvoyer la cause aux juges de la Cour des assurances sociales. Le jugement doit dès lors être réformé en ce sens que les prestations de sortie des avoirs de prévoyance professionnelle acquis par les époux durant le mariage sont partagées entre eux par moitié et que la cause est transférée à la Cour des assurances sociales, dès entrée en force de la décision relative au partage.</w:t>
      </w:r>
    </w:p>
    <w:p>
      <w:r>
        <w:rPr>
          <w:b/>
        </w:rPr>
        <w:t>E. 5</w:t>
      </w:r>
    </w:p>
    <w:p>
      <w:r>
        <w:t>En conclusion, le recours doit être partiellement admis et le jugement réformé dans le sens qui précède. Les frais de deuxième instance de la recourante sont arrêtés à 1'200  francs. L'intimé doit verser à la recourante la somme de 600 fr. à titre de dépens de deuxième instance (art. 92 al. 2 CPC). Par ces motifs, la Chambre des recours du Tribunal cantonal, statuant à huis clos, prononce : I. Le recours est partiellement admis. II. Le jugement est réformé comme il suit au chiffre VI de son dispositif : VI. dit que les prestations de sortie des avoirs de prévoyance professionnelle acquis par les époux durant le mariage sont partagées entre eux par moitié et dit que la cause est transférée à la Cour des assurances sociales, dès entrée en force de la décision relative au partage. Le jugement est confirmé pour le surplus. III. Les frais de deuxième instance de la recourante GB.________ sont arrêtés à 1'200 fr. (mille deux cents francs). IV. L'intimé FB.________ doit verser à la recourante la somme de 600 fr. (six cents francs) à titre de dépens de deuxième instance. V. L'arrêt motivé est exécutoire. Le président :               La greffière : Du 4 février 2010 Le dispositif de l'arrêt qui précède est communiqué par écrit aux intéressés. La greffière : Du L'arrêt qui précède, dont la rédaction a été approuvée à huis clos, est notifié en expédition complète, par l'envoi de photocopies, à : ‑ Me Daniel Richard (pour GB.________), ‑ Me Denys Gillieron (pour FB.________). La Chambre des recours considère que la valeur litigieuse est de 148'000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