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240 vom 24. Februar 2010</w:t>
      </w:r>
    </w:p>
    <w:p>
      <w:r>
        <w:t>VD Tribunal cantonal, 2010-02-24, FR</w:t>
      </w:r>
    </w:p>
    <w:p>
      <w:r>
        <w:rPr>
          <w:b/>
        </w:rPr>
        <w:t xml:space="preserve">Quelle: </w:t>
      </w:r>
      <w:r>
        <w:t>https://mcp.opencaselaw.ch/entscheid/vd_findinfo_HC___2010___240</w:t>
      </w:r>
    </w:p>
    <w:p>
      <w:r>
        <w:t>FR: VD_FINDINFO HC / 2010 / 240 du 24 février 2010</w:t>
      </w:r>
    </w:p>
    <w:p>
      <w:r>
        <w:t>IT: VD_FINDINFO HC / 2010 / 240 del 24 febbraio 2010</w:t>
      </w:r>
    </w:p>
    <w:p>
      <w:pPr>
        <w:pStyle w:val="Heading2"/>
      </w:pPr>
      <w:r>
        <w:t>Regeste</w:t>
      </w:r>
    </w:p>
    <w:p>
      <w:r>
        <w:t>FIXATION DE LA PEINE, COMMERCE DE STUPÉFIANTS, IMPORTATION, ORDONNANCE DE RENVOI, CONSTATATION DES FAITS, DROIT D'ÊTRE ENTENDU | 47 CP, 353 CPP, 411 let. g CPP, 447 CPP, 19 al. 1 LStup, 19 ch. 2 let. a LStup, 19 ch. 2 LStup</w:t>
      </w:r>
    </w:p>
    <w:p>
      <w:pPr>
        <w:pStyle w:val="Heading2"/>
      </w:pPr>
      <w:r>
        <w:t>Erwägungen</w:t>
      </w:r>
    </w:p>
    <w:p>
      <w:r>
        <w:rPr>
          <w:b/>
        </w:rPr>
        <w:t>E. 1</w:t>
      </w:r>
    </w:p>
    <w:p>
      <w:r>
        <w:t>Saisie d'un recours en réforme, la cour de céans examine librement les questions de droit sans être limitée aux moyens que les parties invoquent (art. 447 al. 1 CPP). Vu le rejet du recours en nullité, la Cour de cassation est liée par les faits constatés dans le jugement, sous réserve d'inadvertances manifestes qu'elle rectifie d'office selon l'art. 447 al. 2 CPP. Il n'y en a pas en l'espèce.</w:t>
      </w:r>
    </w:p>
    <w:p>
      <w:r>
        <w:rPr>
          <w:b/>
        </w:rPr>
        <w:t>E. 1.1</w:t>
      </w:r>
    </w:p>
    <w:p>
      <w:r>
        <w:t>ad art. 353 CPP, et les réf. cit.). b) En l'espèce, à la lecture du jugement entrepris, spécialement de son considérant 2b, il ne fait pas de doute que les premiers juges ont uniquement sanctionné l'activité délictueuse qui était reprochée au recourant et qu'ils avaient à connaître. S'ils ont certes évoqué, dans un considérant précédent (cf. jgt., c. 2a), l'ancienne condamnation anglaise du recourant, c'est uniquement pour faire état de ses antécédents. Or, la situation personnelle d'un accusé ne fait pas partie de l'acte d'accusation. C'est donc sans violer l'art. 353 CPP que les premiers juges ont fait mention de cette ancienne condamnation, non relatée dans l'ordonnance de renvoi. Mal fondé, ce grief doit ainsi être rejeté et avec lui, l'entier du recours en nullité. II. Recours en réforme</w:t>
      </w:r>
    </w:p>
    <w:p>
      <w:r>
        <w:rPr>
          <w:b/>
        </w:rPr>
        <w:t>E. 2</w:t>
      </w:r>
    </w:p>
    <w:p>
      <w:r>
        <w:t>En réforme, le recourant allègue que la peine qui lui a été infligée par les premiers juges est arbitrairement sévère, notamment au regard de la jurisprudence rendue en la matière.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c) En l'espèce, le recourant a été condamné pour infraction grave à la LStup, infraction passible au minimum d'une peine privative de liberté d'un an. Afin de fixer la quotité de la peine, les premiers juges ont estimé que la culpabilité de l'accusé était extrêmement lourde, la drogue transportée présentant un taux de pureté relativement élevé et la quantité livrée étant très importante. Les premiers juges n'ont par ailleurs pas considéré que la situation familiale du recourant pouvait justifier son acte et ont relevé qu'il ne semblait pas avoir tiré les conséquences de sa précédente condamnation en Angleterre pour des faits similaires. Ils ont enfin souligné que le recourant ne paraissait pas avoir conscience que son comportement était de nature à créer un danger pour la santé et la vie de nombreuses personnes. A décharge, ils ont retenu l'absence d'antécédents en Suisse du recourant, sa relative bonne collaboration en cours d'enquête et ses regrets présentés aux débats. La peine prononcée par les premiers juges, s'il est vrai qu'elle est sévère, reste dans le cadre légal. Elle n’est en outre pas fondée sur des critères étrangers à l’art. 47 CP. Compte tenu des circonstances, les premiers juges n’ont pas excédé leur large pouvoir d’appréciation et la peine ne saurait être considéré comme arbitrairement sévère. En effet, il ressort très clairement du jugement entrepris que le recourant n'en est pas à son coup d'essai. Malgré une longue incarcération en Angleterre, il n'a pas craint de transporter à nouveau de la cocaïne dans des proportions très importantes. Ces faits dénotent une absence de prise de conscience du caractère délictuel de ses actes et un ancrage certain dans la délinquance. C'est dès lors à juste titre que les premiers juges ont qualifié la culpabilité de l'accusé d'extrêmement lourde. Ils ont en outre apprécié à leur juste valeur les éléments à décharge qu'ils pouvaient prendre en compte. Mal fondé, cet autre grief du recourant doit ainsi être rejeté, tout comme l'entier de son recours.</w:t>
      </w:r>
    </w:p>
    <w:p>
      <w:r>
        <w:rPr>
          <w:b/>
        </w:rPr>
        <w:t>E. 3</w:t>
      </w:r>
    </w:p>
    <w:p>
      <w:r>
        <w:t>En conclusion, le recours est rejeté et le jugement attaqué confirmé. Les frais de deuxième instance seront mis à la charge du recourant qui succombe (art. 450 CPP), plus l'indemnité due à son défenseur d'office par 440 francs. Le remboursement à l'Etat de l'indemnité allouée au défenseur d'office de V.________ sera exigible pour autant que sa situation économique se soit améliorée (TF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