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230 vom 16. April 2010</w:t>
      </w:r>
    </w:p>
    <w:p>
      <w:r>
        <w:t>VD Tribunal cantonal, 2010-04-16, FR</w:t>
      </w:r>
    </w:p>
    <w:p>
      <w:r>
        <w:rPr>
          <w:b/>
        </w:rPr>
        <w:t xml:space="preserve">Quelle: </w:t>
      </w:r>
      <w:r>
        <w:t>https://mcp.opencaselaw.ch/entscheid/vd_findinfo_HC___2010___230</w:t>
      </w:r>
    </w:p>
    <w:p>
      <w:r>
        <w:t>FR: VD_FINDINFO HC / 2010 / 230 du 16 avril 2010</w:t>
      </w:r>
    </w:p>
    <w:p>
      <w:r>
        <w:t>IT: VD_FINDINFO HC / 2010 / 230 del 16 aprile 2010</w:t>
      </w:r>
    </w:p>
    <w:p>
      <w:pPr>
        <w:pStyle w:val="Heading2"/>
      </w:pPr>
      <w:r>
        <w:t>Regeste</w:t>
      </w:r>
    </w:p>
    <w:p>
      <w:r>
        <w:t>DÉLAI DE RECOURS, RECOURS EN MATIÈRE PÉNALE, NOTIFICATION ÉCRITE | 48 al. 2 CPP</w:t>
      </w:r>
    </w:p>
    <w:p>
      <w:pPr>
        <w:pStyle w:val="Heading2"/>
      </w:pPr>
      <w:r>
        <w:t>Erwägungen</w:t>
      </w:r>
    </w:p>
    <w:p>
      <w:r>
        <w:rPr>
          <w:b/>
        </w:rPr>
        <w:t>E. 1</w:t>
      </w:r>
    </w:p>
    <w:p>
      <w:r>
        <w:t>La première question à trancher est celle de la recevabilité formelle du recours. a) D'après la jurisprudence, un acte judiciaire notifié par pli postal recommandé est tenu pour remis à son destinataire non seulement au moment où celui-ci le reçoit effectivement, mais déjà lorsque cet envoi se trouve dans sa sphère d'influence et qu'il est à même d'en prendre connaissance (ATF 123 III 492, JT 1999 II 109, c. 1; ATF 120 III 3, JT 1996 II 136, c. 1). Les parties à une procédure judiciaire sont tenues de prévoir qu'un acte judiciaire leur sera notifié dans un avenir plus ou moins proche et à prendre, si elles s'absentent, des mesures particulières pour qu'il leur parvienne. Si elles négligent de prendre ces mesures, elles sont réputées avoir reçu notification de l'acte judiciaire qui leur est destiné au jour de l'échec de la notification (cf. ATF 116 Ia 90, c. 2 pp. 92 s. et les références). b) A cet égard, il est constant que le recourant n'est pas domicilié en Suisse, sachant que le contrôle des habitants de sa dernière commune de domicile en Suisse a attesté de son départ pour l'étranger. Toutefois, l'intéressé n'a jamais annoncé de changement d'adresse au greffe du Juge d'instruction ou du Tribunal d'arrondissement. Or, il se savait partie à la procédure de longue date. Il lui aurait donc appartenu de prendre toutes dispositions utiles pour assurer le suivi de son courrier. Le prononcé lui a cependant été notifié à l'adresse figurant dans ses écritures les plus récentes, qui est du reste celle que l'intéressé mentionne dans son recours. Dans ces circonstances, il y a lieu de tenir la notification pour valable. Le pli contenant le prononcé attaqué n'a pas été retiré dans le délai de garde venant à échéance le 9 février 2010. Dès lors, le délai légal applicable au dépôt de la déclaration de recours, de cinq jours (art. 424 al. 1 CPP), partait du mercredi 10 février suivant (art. 132 al. 1 CPP, a contrario) pour venir à échéance le dimanche 14 février 2010, terme reporté d'office au lendemain (art. 132 al. 3 CPP). Interjeté le 17 février 2010 seulement, le recourait est donc tardif.</w:t>
      </w:r>
    </w:p>
    <w:p>
      <w:r>
        <w:rPr>
          <w:b/>
        </w:rPr>
        <w:t>E. 2</w:t>
      </w:r>
    </w:p>
    <w:p>
      <w:r>
        <w:t>Par surabondance, aurait-il même été interjeté en temps utile que le recours aurait été matériellement irrecevable. En effet, l'art. 416 CPP ouvre au "condamné" la voie du recours en réforme, y compris pour violation des règles de procédure concernant les frais (art. 415 CPP). Or, le recourant n'a pas été condamné. Il n'a donc pas la légitimation active pour attaquer le prononcé ici en cause. Au vrai, seul le Ministère public aurait pu conclure à sa réforme en ce sens que la plaignante soit condamnée à tout ou partie des frais.</w:t>
      </w:r>
    </w:p>
    <w:p>
      <w:r>
        <w:rPr>
          <w:b/>
        </w:rPr>
        <w:t>E. 3</w:t>
      </w:r>
    </w:p>
    <w:p>
      <w:r>
        <w:t>Toujours par surabondance, le fait que l'instance ait pris fin par le seul effet de la prescription, donc sans que la cause n'eût été instruite, exclut la perception de frais. Dans cette mesure, la situation n'est pas assimilable à l'hypothèse visée par l'art. 90 al. 2 CPP, dont il découle que les frais ne doivent en principe pas rester à la charge de l'Etat en cas de retrait de plainte. Au surplus, dès lors que le prononcé précise que les faits incriminés n'avaient jamais été élucidés à satisfaction de droit, on ne se trouve pas davantage dans l'hypothèse visée par l'art. 159 CPP, qui permet en particulier, lorsque l'équité l'exige, qu'une partie des frais de première instance soit laissée à la charge du plaignant même si le prévenu est condamné à une peine, notamment si le plaignant a agi par dol, témérité ou légèreté ou s'il a compliqué l'instruction. Partant, même s'il avait été entré en matière sur le fond, il n'y aurait pas eu lieu d'imputer une part des frais à la plaignante, faute de tout procédé dilatoire ou dolosif de celle-ci.</w:t>
      </w:r>
    </w:p>
    <w:p>
      <w:r>
        <w:rPr>
          <w:b/>
        </w:rPr>
        <w:t>E. 4</w:t>
      </w:r>
    </w:p>
    <w:p>
      <w:r>
        <w:t>En conclusion, le recours, irrecevable, doit être écarté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