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217 vom 6. April 2010</w:t>
      </w:r>
    </w:p>
    <w:p>
      <w:r>
        <w:t>VD Tribunal cantonal, 2010-04-06, FR</w:t>
      </w:r>
    </w:p>
    <w:p>
      <w:r>
        <w:rPr>
          <w:b/>
        </w:rPr>
        <w:t xml:space="preserve">Quelle: </w:t>
      </w:r>
      <w:r>
        <w:t>https://mcp.opencaselaw.ch/entscheid/vd_findinfo_HC___2010___217</w:t>
      </w:r>
    </w:p>
    <w:p>
      <w:r>
        <w:t>FR: VD_FINDINFO HC / 2010 / 217 du 6 avril 2010</w:t>
      </w:r>
    </w:p>
    <w:p>
      <w:r>
        <w:t>IT: VD_FINDINFO HC / 2010 / 217 del 6 aprile 2010</w:t>
      </w:r>
    </w:p>
    <w:p>
      <w:pPr>
        <w:pStyle w:val="Heading2"/>
      </w:pPr>
      <w:r>
        <w:t>Regeste</w:t>
      </w:r>
    </w:p>
    <w:p>
      <w:r>
        <w:t>CONTRAT D'ENTREPRISE, ENRICHISSEMENT ILLÉGITIME | 363 CO, 62 al. 2 CO, 62 CO, 457 al. 1 CPC, 457 al. 2 CPC, 457 CPC</w:t>
      </w:r>
    </w:p>
    <w:p>
      <w:pPr>
        <w:pStyle w:val="Heading2"/>
      </w:pPr>
      <w:r>
        <w:t>Erwägungen</w:t>
      </w:r>
    </w:p>
    <w:p>
      <w:r>
        <w:rPr>
          <w:b/>
        </w:rPr>
        <w:t>E. 1</w:t>
      </w:r>
    </w:p>
    <w:p>
      <w:r>
        <w:t>Les art. 444, 447 et 451 ch. 4 CPC (Code de procédure civile du 14 décembre 1966; RSV 270.11) ouvrent la voie des recours en nullité et en réforme – dans la mesure pour ce dernier où la valeur litigieuse dépasse 1'000 fr. – contre les jugements principaux rendus par un juge de paix. Interjeté en temps utile par une partie qui y a intérêt, le recours, qui tend uniquement à la réforme, est recevable.</w:t>
      </w:r>
    </w:p>
    <w:p>
      <w:r>
        <w:rPr>
          <w:b/>
        </w:rPr>
        <w:t>E. 2</w:t>
      </w:r>
    </w:p>
    <w:p>
      <w:r>
        <w:t>Saisie d'un recours en réforme contre un jugement principal rendu par un juge de paix, la Chambre des recours est liée par les faits retenus en première instance, à moins qu'ils ne soient en contradiction avec les pièces du dossier (art. 457 al. 1 CPC). Hormis cette réserve, elle n'est pas habilitée, dans le cadre d'un recours en réforme, à revoir et corriger l'état de fait établi par un juge de paix. Le recours en nullité est la seule voie possible pour contester l'établissement des faits par un juge de paix (CREC I,</w:t>
      </w:r>
    </w:p>
    <w:p>
      <w:r>
        <w:rPr>
          <w:b/>
        </w:rPr>
        <w:t>E. 6</w:t>
      </w:r>
    </w:p>
    <w:p>
      <w:r>
        <w:t>avril 2010 Le dispositif de l'arrêt qui précède est communiqué par écrit aux intéressés. La greffière : Du L'arrêt qui précède, dont la rédaction a été approuvée à huis clos, est notifié en expédition complète, par l'envoi de photocopies, à : ‑ M. Thierry Zumbach (pour H.________ SA), ‑ Mme Geneviève Gehrig (pour A.V.________). La Chambre des recours considère que la valeur litigieuse est de 1'142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