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216 vom 22. März 2010</w:t>
      </w:r>
    </w:p>
    <w:p>
      <w:r>
        <w:t>VD Tribunal cantonal, 2010-03-22, FR</w:t>
      </w:r>
    </w:p>
    <w:p>
      <w:r>
        <w:rPr>
          <w:b/>
        </w:rPr>
        <w:t xml:space="preserve">Quelle: </w:t>
      </w:r>
      <w:r>
        <w:t>https://mcp.opencaselaw.ch/entscheid/vd_findinfo_HC___2010___216</w:t>
      </w:r>
    </w:p>
    <w:p>
      <w:r>
        <w:t>FR: VD_FINDINFO HC / 2010 / 216 du 22 mars 2010</w:t>
      </w:r>
    </w:p>
    <w:p>
      <w:r>
        <w:t>IT: VD_FINDINFO HC / 2010 / 216 del 22 marzo 2010</w:t>
      </w:r>
    </w:p>
    <w:p>
      <w:pPr>
        <w:pStyle w:val="Heading2"/>
      </w:pPr>
      <w:r>
        <w:t>Regeste</w:t>
      </w:r>
    </w:p>
    <w:p>
      <w:r>
        <w:t>LIBÉRATION CONDITIONNELLE | 86 CP</w:t>
      </w:r>
    </w:p>
    <w:p>
      <w:pPr>
        <w:pStyle w:val="Heading2"/>
      </w:pPr>
      <w:r>
        <w:t>Erwägungen</w:t>
      </w:r>
    </w:p>
    <w:p>
      <w:r>
        <w:rPr>
          <w:b/>
        </w:rPr>
        <w:t>E. 1</w:t>
      </w:r>
    </w:p>
    <w:p>
      <w:r>
        <w:t>Depuis le 1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w:t>
      </w:r>
    </w:p>
    <w:p>
      <w:r>
        <w:rPr>
          <w:b/>
        </w:rPr>
        <w:t>E. 1.2</w:t>
      </w:r>
    </w:p>
    <w:p>
      <w:r>
        <w:t>Le recours est rédigé en lituanien alors que la langue de la procédure est le français (art. 2a CPP). Lorsqu'un recours est rédigé dans une autre langue que le français, un délai doit en principe être imparti à son auteur pour en produire une traduction, à défaut de quoi l'acte peut être déclaré irrecevable. Toutefois, lorsque la cause est simple et l'acte de recours bref, il n'est pas obligatoire d'exiger la traduction de l'acte de recours, surtout si cela ne porte pas préjudice à une partie (Bovay/Dupuis/Monnier/Moreillon/Piguet, Procédure pénale vaudoise, Code annoté, 3e éd., Bâle 2008, n. 2 ad art. 2a CPP et la réf. cit.). Compte tenu toutefois de la simplicité de la présente cause et de la brièveté de l'acte de recours, il n'est en l'espèce pas nécessaire d'en exiger la traduction. Interjeté de surcroît en temps utile, le recours peut être considéré comme recevable en la forme.</w:t>
      </w:r>
    </w:p>
    <w:p>
      <w:r>
        <w:rPr>
          <w:b/>
        </w:rPr>
        <w:t>E. 1.3</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2</w:t>
      </w:r>
    </w:p>
    <w:p>
      <w:r>
        <w:t>Il doit être considéré que le recours tend à la réforme du jugement en ce sens que la libération conditionnelle est accordée au condamné avec effet immédiat.</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Kuhn/Moreillon/Viredaz/Bichovsky, La nouvelle partie générale du Code pénal suisse, Berne 2006, pp. 361 s.). Tout pronostic constitue une prévision au sujet de laquelle on ne peut exiger une certitude absolue ; il faut donc se contenter d'une certaine probabilité, un risque de récidive ne pouvant être complètement exclu (ATF 119 IV 5, c. 1b;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w:t>
      </w:r>
    </w:p>
    <w:p>
      <w:r>
        <w:rPr>
          <w:b/>
        </w:rPr>
        <w:t>E. 2.2</w:t>
      </w:r>
    </w:p>
    <w:p>
      <w:r>
        <w:t>En l'espèce, il est admis que le recourant est éligible à la libération conditionnelle depuis le 4 avril 2010 et que son comportement en détention ne s'oppose pas à son élargissement. Seule demeure donc litigieuse la question de l'existence d'un éventuel pronostic défavorable. A ce sujet, la cour de céans fera sienne l'appréciation du Juge d'application des peines. Le jugement attaqué relève que Q.________ n'a fait preuve d'aucun amendement réel et s'est comporté de manière opportuniste. En effet, les intentions manifestées par le condamné ne modifient en rien cette appréciation et n'apparaissent en réalité que comme des promesses formulées dans le seul but d'obtenir une libération et non comme un changement réel de mentalité de sa part. Or, selon la jurisprudence exposée ci-dessus, l'amendement est un élément pertinent pour apprécier si le condamné peut prétendre à la libération conditionnelle (cf. supra, c. 2.1). L'intéressé, qui a été condamné à trois reprises pour avoir commis notamment des vols, tente de justifier son comportement délictueux par sa volonté d'échapper à la pauvreté dans son pays d'origine. Or, après avoir commis des infractions pour se procurer des fonds, le risque est important que, sans travail à sa sortie de prison, celui-ci ne retombe rapidement dans la délinquance pour faire face à ses obligations financières . Q.________ n'a d'ailleurs pas prouvé concrètement sa volonté de subvenir aux besoins des siens de manière légale et n'a pas présenté des projets professionnels concrets et crédibles, sachant que, de son propre aveu, ses perspectives de revenu en Lituanie n'apparaissent pas suffisantes pour faire face à l'ensemble des ses obligations, dont d'importantes dettes. Quant aux affirmations du recourant selon lesquelles sa volonté d'assumer ses obligations familiales l'empêcherait de retourner en Europe occidentale afin d'y commettre des vols, elle doivent être sérieusement relativisées. En effet, à plusieurs reprises, il n'a pas hésité à délaisser sa famille afin de se rendre à l'étranger dans le but de se livrer à des activités délictueuses. Face à ce constat, il est impossible de penser que le recourant a subitement changé d'attitude et que les propos tenus sont l'expression d'un amendement. La Cour de céans considère ainsi que les déclarations de Q.________ ne procèdent pas d'un amendement spontané mais qu'elles sont bien plus dictées par des considérations tactiques. A ceci s'ajoute que, pour ce qui est des effets futurs de l'exécution intégrale de la peine opposés à ceux d'une libération conditionnelle, le risque de réitération - qui apparaît élevé, comme indiqué ci-dessus - ne sera pas réduit par une libération anticipée. En effet, les éléments qui avaient mené le recourant à la délinquance perdureront à l'identique s'il est libéré conditionnellement. Il s'ensuit que la libération conditionnelle, considérée dans sa fonction de réinsertion sociale, ne permet pas de diminuer le risque de récidive. Au vu de ce qui précède, c'est donc à juste titre que la libération conditionnelle a été refusée à Q.________ par le premier juge.</w:t>
      </w:r>
    </w:p>
    <w:p>
      <w:r>
        <w:rPr>
          <w:b/>
        </w:rPr>
        <w:t>E. 2.3</w:t>
      </w:r>
    </w:p>
    <w:p>
      <w:r>
        <w:t>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précité,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w:t>
      </w:r>
    </w:p>
    <w:p>
      <w:r>
        <w:rPr>
          <w:b/>
        </w:rPr>
        <w:t>E. 3</w:t>
      </w:r>
    </w:p>
    <w:p>
      <w:r>
        <w:t>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