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203 vom 18. November 2009</w:t>
      </w:r>
    </w:p>
    <w:p>
      <w:r>
        <w:t>VD Tribunal cantonal, 2009-11-18, FR</w:t>
      </w:r>
    </w:p>
    <w:p>
      <w:r>
        <w:rPr>
          <w:b/>
        </w:rPr>
        <w:t xml:space="preserve">Quelle: </w:t>
      </w:r>
      <w:r>
        <w:t>https://mcp.opencaselaw.ch/entscheid/vd_findinfo_HC___2010___203</w:t>
      </w:r>
    </w:p>
    <w:p>
      <w:r>
        <w:t>FR: VD_FINDINFO HC / 2010 / 203 du 18 novembre 2009</w:t>
      </w:r>
    </w:p>
    <w:p>
      <w:r>
        <w:t>IT: VD_FINDINFO HC / 2010 / 203 del 18 novembre 2009</w:t>
      </w:r>
    </w:p>
    <w:p>
      <w:pPr>
        <w:pStyle w:val="Heading2"/>
      </w:pPr>
      <w:r>
        <w:t>Regeste</w:t>
      </w:r>
    </w:p>
    <w:p>
      <w:r>
        <w:t>PRÉSOMPTION D'INNOCENCE, APPRÉCIATION DES PREUVES, LIBRE APPRÉCIATION DES PREUVES, INTERDICTION DE L'ARBITRAIRE, FIXATION DE LA PEINE, PEINE, SURSIS PARTIEL À L'EXÉCUTION DE LA PEINE | 187 ch. 1 CP, 43 CP, 47 CP, 411 let. i CPP</w:t>
      </w:r>
    </w:p>
    <w:p>
      <w:pPr>
        <w:pStyle w:val="Heading2"/>
      </w:pPr>
      <w:r>
        <w:t>Erwägungen</w:t>
      </w:r>
    </w:p>
    <w:p>
      <w:r>
        <w:rPr>
          <w:b/>
        </w:rPr>
        <w:t>E. 1</w:t>
      </w:r>
    </w:p>
    <w:p>
      <w:r>
        <w:t>Saisie d'un recours en réforme, la cour de céans examine librement les questions de droit sans être limitée aux moyens que les parties invoquent (art. 447 al. 1 CPP). Vu le rejet du recours en nullité, la Cour de cassation est liée par les faits constatés dans le jugement, sous réserve d'inadvertances manifestes qu'elle rectifie d'office selon l'art. 447 al. 2 CPP. Il n'y en a pas en l'espèce.</w:t>
      </w:r>
    </w:p>
    <w:p>
      <w:r>
        <w:rPr>
          <w:b/>
        </w:rPr>
        <w:t>E. 2</w:t>
      </w:r>
    </w:p>
    <w:p>
      <w:r>
        <w:t>En réforme, le recourant allègue que la peine qui lui a été infligée par les premiers juges est arbitrairement sévère, notamment au regard de la jurisprudence rendue en la matière, et que la décision attaquée ne tient pas suffisamment compte de sa situation professionnelle et familiale.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p. 497;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b)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accusés différents (ATF 120 IV 136 c. 3a; ATF 116 IV 292 précité). En effet, selon la jurisprudence constante du Tribunal fédéral, le principe de l'individualisation de la peine et le large pouvoir conféré par la loi au juge dans la fixation de celle-ci conduisent nécessairement à une certaine inégalité dont le législateur s'est accommodé.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2e éd., 2007, n. 159 ad art. 47 CP, pp. 876 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En outre,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c) En l'espèce, le recourant a été condamné pour actes d’ordre sexuel sur un enfant, infraction passible au maximum d’une peine privative de liberté de cinq ans. Le recourant ayant agi à plusieurs reprises, il réalise la circonstance aggravante du concours. La peine théoriquement possible est dès lors de sept ans et demi. Afin de fixer la quotité de la peine, les premiers juges ont retenu à charge que les actes perpétrés étaient objectivement graves puisqu’ils sont le fait du père en qui l’enfant puis l’adolescente pouvait et devait avoir confiance. Les premiers juges ont retenu également qu’il ne pouvait échapper au recourant que de tels actes pouvaient détruire sa fille ou tout au moins entraver durablement son développement. Le recourant est en outre apparu au tribunal comme un être dénué de scrupules et de toute volonté d’introspection. A décharge, les premiers juges ont retenu le casier judiciaire vierge du recourant et une socialisation correcte. La peine prononcée par les premiers juges reste dans le cadre légal. Elle n’est en outre pas fondée sur des critères étrangers à l’art. 47 CP. Compte tenu des circonstances, les premiers juges n’ont pas excédé leur large pouvoir d’appréciation et la peine ne saurait être considéré comme arbitrairement sévère. Elle ne l'est pas plus en comparaison avec les autres affaires mentionnées par le recourant. Il est en effet vain de se livrer à ce type de comparaison lorsque l'on est en présence de plusieurs affaires et d'accusés différents, en raison des nombreux paramètres qui interviennent dans la fixation de la peine et qui conduisent ainsi à l'individualiser. d) Le recourant estime encore que la peine aurait dû être diminuée afin de ne pas réduire à néant son entreprise. La peine prononcée implique en outre qu’il ne sera plus à même d’entretenir sa famille et de s’occuper de ses filles. Le Tribunal fédéral a considéré qu’en application de l’art. 47 al. 1 CP, la perspective d’un environnement favorable peut selon les circonstances concrètes du cas déployer un effet atténuant et conduire au prononcé d’une peine inférieure à celle qui serait proportionnée à la culpabilité. Ainsi, lorsque la peine entrant en considération se situe dans un intervalle dont les bornes comprennent la limite du sursis (24 mois),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(TF 6B_819/2007). En l’espèce, la peine entrant en considération ne se situait pas dans un intervalle dont les bornes comprennent la limite du sursis. On a en effet vu ci-dessus que la peine de trente mois prononcée n'est pas arbitrairement sévère et se situe dans le cadre légal. En cela, elle est adéquate. Ainsi, le tribunal était donc libre de prononcer une telle peine, quand bien même elle aura une influence sur la situation professionnelle et familiale du recourant. Dès lors, il ne se justifie en rien de la réduire. De toute manière, elle dépasse de six mois la limite du sursis, de sorte que faire application de la jurisprudence précitée dans le cas présent impliquerait une diminution trop importante compte tenu des circonstances.</w:t>
      </w:r>
    </w:p>
    <w:p>
      <w:r>
        <w:rPr>
          <w:b/>
        </w:rPr>
        <w:t>E. 3</w:t>
      </w:r>
    </w:p>
    <w:p>
      <w:r>
        <w:t>Le recourant soutient encore à titre subsidiaire que les premiers juges ont appliqué les règles sur le sursis partiel de manière arbitrairement sévère et conteste la quotité du sursis partiel infligé. a)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b) D'après l'art. 43 al. 2 et 3 CP, la partie ferme de la peine doit être comprise entre six mois et la moitié de la peine, inclusivement.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6B_604/2008 du 26 décembre 2008, c. 2.1 et les arrêts cités). c) En l'espèce, les premiers juges ont retenu que s’agissant d’un délinquant primaire, on pouvait considérer que le pronostic n’était pas défavorable. Toutefois, compte tenu de la gravité de l’acte commis tant sur le plan subjectif qu’objectif, la peine à exécuter devait être de quinze mois, soit du maximum possible. Les premiers juges n’ont pas abusé de leur large pouvoir d’appréciation. En effet, la faute est objectivement très grave. Le recourant s’en est pris à sa propre fille à diverses reprises. Au surplus, compte tenu de l’absence de scrupules et de toute volonté d’introspection, le pronostic, s’il n’est pas défavorable, n’est pas particulièrement favorable. Dès lors, la durée de la peine à exécuter a été fixée conformément aux éléments dégagés par la jurisprudence rappelée ci-dessus et le recours doit être rejeté sur ce point également.</w:t>
      </w:r>
    </w:p>
    <w:p>
      <w:r>
        <w:rPr>
          <w:b/>
        </w:rPr>
        <w:t>E. 4</w:t>
      </w:r>
    </w:p>
    <w:p>
      <w:r>
        <w:t>En conclusion, le recours doit être rejeté et le jugement attaqué confirmé. Les frais de deuxième instance seront mis à la charge du recourant qui succombe (art. 450 CPP), plus l'indemnité due à son défenseur d'office par 1'620 fr., plus 123 fr. 10 de TVA. Le remboursement à l'Etat de l'indemnité allouée au défenseur d'office de J.________ sera exigible pour autant que sa situation économique se soit améliorée (TF 6B_611/2008 du 5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