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201 vom 22. Februar 2010</w:t>
      </w:r>
    </w:p>
    <w:p>
      <w:r>
        <w:t>VD Tribunal cantonal, 2010-02-22, FR</w:t>
      </w:r>
    </w:p>
    <w:p>
      <w:r>
        <w:rPr>
          <w:b/>
        </w:rPr>
        <w:t xml:space="preserve">Quelle: </w:t>
      </w:r>
      <w:r>
        <w:t>https://mcp.opencaselaw.ch/entscheid/vd_findinfo_HC___2010___201</w:t>
      </w:r>
    </w:p>
    <w:p>
      <w:r>
        <w:t>FR: VD_FINDINFO HC / 2010 / 201 du 22 février 2010</w:t>
      </w:r>
    </w:p>
    <w:p>
      <w:r>
        <w:t>IT: VD_FINDINFO HC / 2010 / 201 del 22 febbraio 2010</w:t>
      </w:r>
    </w:p>
    <w:p>
      <w:pPr>
        <w:pStyle w:val="Heading2"/>
      </w:pPr>
      <w:r>
        <w:t>Regeste</w:t>
      </w:r>
    </w:p>
    <w:p>
      <w:r>
        <w:t>DÉPENS, RÉPARTITION DES FRAIS, TRANSACTION JUDICIAIRE | 461 al. 1 let. b CPC, 92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1994 III 78; Poudret/Haldy/Tappy, Procédure civile vaudoise, 3ème éd., 2002, n. 1 ad art. 94 CPC, p. 186 et références). En l’espèce, la décision sur dépens est l’accessoire d’un jugement principal en constitution de sûretés rendu par un président de tribunal d’arrondissement susceptible d’un recours en réforme (art. 451 CPC). Interjeté en temps utile, le recours en réforme sur les dépens est formellement recevable. b) Dans sa déclaration de recours du 12 juin 2009, B.Z.________ a conclu à la suppression du chiffre V du dispositif le condamnant à verser 7'181 fr. à titre de dépens à la partie adverse. Or, dans son mémoire ampliatif du 13 janvier 2010, il a pris des conclusions distinctes, soit principalement que sa partie adverse est condamnée à lui verser 7'181 fr. à titre de dépens et subsidiairement que les dépens sont compensés. La conclusion subsidiaire est matériellement identique à celle initialement prise puisqu’elle aboutit à la mise à néant de la dette en dépens du recourant. En revanche, la conclusion principale énoncée dans le mémoire ampliatif, qui tend à constituer une créance en dépens contre l’intimée est différente de la conclusion prise dans l’acte de recours, de sorte qu’elle n’est pas recevable. En effet, l’art. 461 al. 1 let. b CPC impose de faire figurer les conclusions définitivement dans l’acte de recours et celles prises après l’expiration du délai de recours, notamment dans le mémoire ampliatif, sont tardives et donc irrecevables (Poudret/Haldy/Tappy, op. cit., n. 2 ad art. 461 CPC, p. 714 in fine ).</w:t>
      </w:r>
    </w:p>
    <w:p>
      <w:r>
        <w:rPr>
          <w:b/>
        </w:rPr>
        <w:t>E. 2</w:t>
      </w:r>
    </w:p>
    <w:p>
      <w:r>
        <w:t>a) Conformément à l'art. 91 CPC, les dépens comprennent les frais et les émoluments de l'office payés par la partie (let. a), les frais de vacation des parties (let. b) ainsi que les honoraires et les déboursés de mandataire et d'avocat (let. c). Aux termes de l'article 92 CPC, les dépens sont alloués à la partie qui a obtenu l'adjudication de ses conclusions (al. 1); lorsque aucune des parties n'obtient entièrement gain de cause, le juge peut réduire les dépens ou les compenser (al. 2). Selon la jurisprudence, pour décider de la répartition des dépens,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op. cit., n. 3 ad art. 92 CPC, p. 175 et réf.). Lorsque les parties transigent en laissant au tribunal le soin de statuer sur le sort des dépens, le juge doit se borner à comparer le montant réclamé à celui alloué par la transaction, en tenant compte, le cas échéant, de ce qu'un des plaideurs aurait compliqué abusivement la procédure et de ce qu'une transaction implique normalement aussi une concession sur les dépens, et non pas rechercher quelle aurait été sa propre solution sur le fond (JT 1994 III 18; JT 1987 III 127; Poudret/Haldy/Tappy, op. cit., n. 7.10 ad art. 92 CPC, p. 182). b) En l’espèce, discutant la question litigieuse du montant des sûretés en fonction de la durée de la contribution d’entretien, le jugement relève que l’intimée a estimé que ce montant devrait se situer entre 50'000 et 103'000 fr. pour tenir compte de l’inachèvement de la formation de l’enfant à sa majorité et du risque de perdre la rente AI, alors que le recourant a proposé 45'000 fr. au maximum. Le premier juge a calculé que, jusqu’à la majorité, la contribution d’entretien s’élèverait à 45'917 francs. Jusqu’à l’âge de 21 ans et demi – âge retenu pour tenir compte de la moitié de la durée d’une formation tertiaire standard au-delà de la majorité –, il fallait ajouter un montant de 26'418 fr. et, pour couvrir le risque d’une révision ou suppression de la rente AI, il fallait encore compter 27'768 francs. Le montant global des sûretés a ainsi été arrondi à 100'000 francs. Dans son mémoire, le recourant concède que l’intimée a eu gain de cause sur le principe, mais conteste en réalité cette appréciation en relevant que l’intimée a ouvert action sans lui soumettre au préalable la question de la constitution de sûretés, laissant entendre qu’il aurait adhéré à sa demande. Selon lui, l’analyse du gain du procès n’aurait pas dû se faire sur la base des chiffres de 50'000 à 103'000 fr. ou 45'000 fr. articulés par les parties lors de discussions transactionnelles à l’audience de jugement, mais sur la base des conclusions prises. Les mesures provisionnelles ont été résolues par conventions judiciaires. Au fond, le principe même des sûretés a connu un sort identique. Tout ce pan du litige justifie une compensation des dépens, compte tenu des circonstances globales, le recourant n’ayant en particulier jamais mis en cause le principe des sûretés. De plus, si l’on s’en tient aux conclusions, comme l’impose l’art. 92 al. 1 CPC, on constate que le chiffre alloué de 100'000 fr. est plus proche de l’offre du recourant de 35'000 fr. que de la conclusion de l’intimée de 225'000 francs. Il en résulte que les dépens de première instance doivent être intégralement compensés.</w:t>
      </w:r>
    </w:p>
    <w:p>
      <w:r>
        <w:rPr>
          <w:b/>
        </w:rPr>
        <w:t>E. 3</w:t>
      </w:r>
    </w:p>
    <w:p>
      <w:r>
        <w:t>Compte tenu de ce qui précède, le recours doit être admis et le jugement modifié dans le sens des considérants. Obtenant gain de cause sur la question des dépens, mais ayant retiré ses autres conclusions, le recourant a doit à des dépens, dont convient de fixer le montant à 800 fr., soit 300 fr. en remboursement de ses frais et 500 fr. à titre de participation à ses frais d’avocat. Par ces motifs, la Chambre des recours du Tribunal cantonal, statuant à huis clos, prononce : I. Le recours est admis. II. Le jugement est réformé au chiffre V de son dispositif comme il suit : V. dit que les dépens sont compensés. Le jugement est confirmé pour le surplus. III. Les frais de deuxième instance du recourant sont arrêtés à 300 fr. (trois cents francs). IV. L’intimée A.Z.________ doit verser au recourant B.Z.________ la somme de 800 fr. (huit cents francs) à titre de dépens de deuxième instance. V. L’arrêt motivé est exécutoire. Le président :               La greffière : Du 22 février 2010 Le dispositif de l'arrêt qui précède est communiqué par écrit aux intéressés. La greffière : Du L'arrêt qui précède, dont la rédaction a été approuvée à huis clos, est notifié en expédition complète, par l'envoi de photocopies, à : ‑ Me Gilles Favre (pour B.Z.________), ‑ Me Marc-Antoine Aubert (pour A.Z.________). La Chambre des recours considère que la valeur litigieuse est de 7’181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